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1F" w:rsidRPr="001F0F0C" w:rsidRDefault="0083631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83631F" w:rsidRPr="001F0F0C" w:rsidRDefault="0083631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83631F" w:rsidRPr="001F0F0C" w:rsidRDefault="0083631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ВОЛГОГРАДСКОЙ ОБЛАСТИ</w:t>
      </w:r>
    </w:p>
    <w:p w:rsidR="0083631F" w:rsidRPr="001F0F0C" w:rsidRDefault="0083631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632C1" w:rsidRPr="001F0F0C" w:rsidRDefault="008C6F8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ПОСТАНОВЛЕНИЕ</w:t>
      </w:r>
    </w:p>
    <w:p w:rsidR="008C6F85" w:rsidRPr="001F0F0C" w:rsidRDefault="008C6F8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6F85" w:rsidRPr="001F0F0C" w:rsidRDefault="008C6F85" w:rsidP="008C6F85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От </w:t>
      </w:r>
      <w:r w:rsidR="0083631F" w:rsidRPr="001F0F0C">
        <w:rPr>
          <w:rFonts w:ascii="Arial" w:hAnsi="Arial" w:cs="Arial"/>
          <w:sz w:val="24"/>
          <w:szCs w:val="24"/>
        </w:rPr>
        <w:t>17.01.2024</w:t>
      </w:r>
      <w:r w:rsidRPr="001F0F0C">
        <w:rPr>
          <w:rFonts w:ascii="Arial" w:hAnsi="Arial" w:cs="Arial"/>
          <w:sz w:val="24"/>
          <w:szCs w:val="24"/>
        </w:rPr>
        <w:t xml:space="preserve"> г. №</w:t>
      </w:r>
      <w:r w:rsidR="0083631F" w:rsidRPr="001F0F0C">
        <w:rPr>
          <w:rFonts w:ascii="Arial" w:hAnsi="Arial" w:cs="Arial"/>
          <w:sz w:val="24"/>
          <w:szCs w:val="24"/>
        </w:rPr>
        <w:t xml:space="preserve"> 04</w:t>
      </w:r>
    </w:p>
    <w:p w:rsidR="007C4397" w:rsidRPr="001F0F0C" w:rsidRDefault="0083631F" w:rsidP="0083631F">
      <w:pPr>
        <w:pStyle w:val="ConsPlusTitle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Об утверждении Порядка санкционирования оплаты</w:t>
      </w:r>
    </w:p>
    <w:p w:rsidR="007C4397" w:rsidRPr="001F0F0C" w:rsidRDefault="00802E8F" w:rsidP="0083631F">
      <w:pPr>
        <w:pStyle w:val="ConsPlusTitle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д</w:t>
      </w:r>
      <w:r w:rsidR="0083631F" w:rsidRPr="001F0F0C">
        <w:rPr>
          <w:rFonts w:ascii="Arial" w:hAnsi="Arial" w:cs="Arial"/>
          <w:sz w:val="24"/>
          <w:szCs w:val="24"/>
        </w:rPr>
        <w:t>енежных обязательств получателей средств местного</w:t>
      </w:r>
    </w:p>
    <w:p w:rsidR="007C4397" w:rsidRPr="001F0F0C" w:rsidRDefault="00802E8F" w:rsidP="0083631F">
      <w:pPr>
        <w:pStyle w:val="ConsPlusTitle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б</w:t>
      </w:r>
      <w:r w:rsidR="0083631F" w:rsidRPr="001F0F0C">
        <w:rPr>
          <w:rFonts w:ascii="Arial" w:hAnsi="Arial" w:cs="Arial"/>
          <w:sz w:val="24"/>
          <w:szCs w:val="24"/>
        </w:rPr>
        <w:t xml:space="preserve">юджета и оплаты денежных обязательств, </w:t>
      </w:r>
    </w:p>
    <w:p w:rsidR="007C4397" w:rsidRPr="001F0F0C" w:rsidRDefault="00802E8F" w:rsidP="0083631F">
      <w:pPr>
        <w:pStyle w:val="ConsPlusTitle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п</w:t>
      </w:r>
      <w:r w:rsidR="0083631F" w:rsidRPr="001F0F0C">
        <w:rPr>
          <w:rFonts w:ascii="Arial" w:hAnsi="Arial" w:cs="Arial"/>
          <w:sz w:val="24"/>
          <w:szCs w:val="24"/>
        </w:rPr>
        <w:t xml:space="preserve">одлежащих исполнению за счет бюджетных </w:t>
      </w:r>
      <w:r w:rsidRPr="001F0F0C">
        <w:rPr>
          <w:rFonts w:ascii="Arial" w:hAnsi="Arial" w:cs="Arial"/>
          <w:sz w:val="24"/>
          <w:szCs w:val="24"/>
        </w:rPr>
        <w:t>ассигнований</w:t>
      </w:r>
    </w:p>
    <w:p w:rsidR="00802E8F" w:rsidRPr="001F0F0C" w:rsidRDefault="00802E8F" w:rsidP="0083631F">
      <w:pPr>
        <w:pStyle w:val="ConsPlusTitle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по источникам финансирования дефицита местного бюджета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В соответствии с </w:t>
      </w:r>
      <w:hyperlink r:id="rId4">
        <w:r w:rsidRPr="001F0F0C">
          <w:rPr>
            <w:rFonts w:ascii="Arial" w:hAnsi="Arial" w:cs="Arial"/>
            <w:sz w:val="24"/>
            <w:szCs w:val="24"/>
          </w:rPr>
          <w:t>пунктами 1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r:id="rId5">
        <w:r w:rsidRPr="001F0F0C">
          <w:rPr>
            <w:rFonts w:ascii="Arial" w:hAnsi="Arial" w:cs="Arial"/>
            <w:sz w:val="24"/>
            <w:szCs w:val="24"/>
          </w:rPr>
          <w:t>2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r:id="rId6">
        <w:r w:rsidRPr="001F0F0C">
          <w:rPr>
            <w:rFonts w:ascii="Arial" w:hAnsi="Arial" w:cs="Arial"/>
            <w:sz w:val="24"/>
            <w:szCs w:val="24"/>
          </w:rPr>
          <w:t>абзацем третьим пункта 5 статьи 219</w:t>
        </w:r>
      </w:hyperlink>
      <w:r w:rsidRPr="001F0F0C">
        <w:rPr>
          <w:rFonts w:ascii="Arial" w:hAnsi="Arial" w:cs="Arial"/>
          <w:sz w:val="24"/>
          <w:szCs w:val="24"/>
        </w:rPr>
        <w:t xml:space="preserve"> и </w:t>
      </w:r>
      <w:hyperlink r:id="rId7">
        <w:r w:rsidRPr="001F0F0C">
          <w:rPr>
            <w:rFonts w:ascii="Arial" w:hAnsi="Arial" w:cs="Arial"/>
            <w:sz w:val="24"/>
            <w:szCs w:val="24"/>
          </w:rPr>
          <w:t>частью второй статьи 219.2</w:t>
        </w:r>
      </w:hyperlink>
      <w:r w:rsidRPr="001F0F0C">
        <w:rPr>
          <w:rFonts w:ascii="Arial" w:hAnsi="Arial" w:cs="Arial"/>
          <w:sz w:val="24"/>
          <w:szCs w:val="24"/>
        </w:rPr>
        <w:t xml:space="preserve"> Бюджетного кодекса Российской Федерации приказываю: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8">
        <w:r w:rsidRPr="001F0F0C">
          <w:rPr>
            <w:rFonts w:ascii="Arial" w:hAnsi="Arial" w:cs="Arial"/>
            <w:sz w:val="24"/>
            <w:szCs w:val="24"/>
          </w:rPr>
          <w:t>Порядок</w:t>
        </w:r>
      </w:hyperlink>
      <w:r w:rsidRPr="001F0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санкционирования оплаты денежных обязательств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.</w:t>
      </w:r>
    </w:p>
    <w:p w:rsidR="008C6F85" w:rsidRPr="001F0F0C" w:rsidRDefault="007C4397" w:rsidP="008C6F85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F0F0C">
        <w:rPr>
          <w:rFonts w:ascii="Arial" w:hAnsi="Arial" w:cs="Arial"/>
          <w:b w:val="0"/>
          <w:sz w:val="24"/>
          <w:szCs w:val="24"/>
        </w:rPr>
        <w:t>2. Признать утратившими силу:</w:t>
      </w:r>
      <w:r w:rsidR="008C6F85" w:rsidRPr="001F0F0C">
        <w:rPr>
          <w:rFonts w:ascii="Arial" w:hAnsi="Arial" w:cs="Arial"/>
          <w:b w:val="0"/>
          <w:sz w:val="24"/>
          <w:szCs w:val="24"/>
        </w:rPr>
        <w:t xml:space="preserve"> Постановление Администрации </w:t>
      </w:r>
      <w:r w:rsidR="0084174B" w:rsidRPr="001F0F0C">
        <w:rPr>
          <w:rFonts w:ascii="Arial" w:hAnsi="Arial" w:cs="Arial"/>
          <w:b w:val="0"/>
          <w:sz w:val="24"/>
          <w:szCs w:val="24"/>
        </w:rPr>
        <w:t>Рыбинского</w:t>
      </w:r>
      <w:r w:rsidR="008C6F85" w:rsidRPr="001F0F0C">
        <w:rPr>
          <w:rFonts w:ascii="Arial" w:hAnsi="Arial" w:cs="Arial"/>
          <w:b w:val="0"/>
          <w:sz w:val="24"/>
          <w:szCs w:val="24"/>
        </w:rPr>
        <w:t xml:space="preserve"> сельского поселение Ольховского муниципального района Волгоградской области № </w:t>
      </w:r>
      <w:r w:rsidR="0084174B" w:rsidRPr="001F0F0C">
        <w:rPr>
          <w:rFonts w:ascii="Arial" w:hAnsi="Arial" w:cs="Arial"/>
          <w:b w:val="0"/>
          <w:sz w:val="24"/>
          <w:szCs w:val="24"/>
        </w:rPr>
        <w:t>59</w:t>
      </w:r>
      <w:bookmarkStart w:id="0" w:name="_GoBack"/>
      <w:bookmarkEnd w:id="0"/>
      <w:r w:rsidR="008C6F85" w:rsidRPr="001F0F0C">
        <w:rPr>
          <w:rFonts w:ascii="Arial" w:hAnsi="Arial" w:cs="Arial"/>
          <w:b w:val="0"/>
          <w:sz w:val="24"/>
          <w:szCs w:val="24"/>
        </w:rPr>
        <w:t xml:space="preserve"> от 30.11.2021 г. «Об утверждении порядка</w:t>
      </w:r>
    </w:p>
    <w:p w:rsidR="007C4397" w:rsidRPr="001F0F0C" w:rsidRDefault="008C6F85" w:rsidP="008C6F85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b w:val="0"/>
          <w:sz w:val="24"/>
          <w:szCs w:val="24"/>
        </w:rPr>
        <w:t xml:space="preserve">санкционирования </w:t>
      </w:r>
      <w:proofErr w:type="gramStart"/>
      <w:r w:rsidRPr="001F0F0C">
        <w:rPr>
          <w:rFonts w:ascii="Arial" w:hAnsi="Arial" w:cs="Arial"/>
          <w:b w:val="0"/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 w:rsidRPr="001F0F0C">
        <w:rPr>
          <w:rFonts w:ascii="Arial" w:hAnsi="Arial" w:cs="Arial"/>
          <w:b w:val="0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бюджета».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3. Настоящ</w:t>
      </w:r>
      <w:r w:rsidR="008C6F85" w:rsidRPr="001F0F0C">
        <w:rPr>
          <w:rFonts w:ascii="Arial" w:hAnsi="Arial" w:cs="Arial"/>
          <w:sz w:val="24"/>
          <w:szCs w:val="24"/>
        </w:rPr>
        <w:t>ее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="008C6F85" w:rsidRPr="001F0F0C">
        <w:rPr>
          <w:rFonts w:ascii="Arial" w:hAnsi="Arial" w:cs="Arial"/>
          <w:sz w:val="24"/>
          <w:szCs w:val="24"/>
        </w:rPr>
        <w:t>постановление</w:t>
      </w:r>
      <w:r w:rsidR="00E632C1" w:rsidRPr="001F0F0C">
        <w:rPr>
          <w:rFonts w:ascii="Arial" w:hAnsi="Arial" w:cs="Arial"/>
          <w:sz w:val="24"/>
          <w:szCs w:val="24"/>
        </w:rPr>
        <w:t xml:space="preserve"> вступает в силу с 1 января 2024</w:t>
      </w:r>
      <w:r w:rsidRPr="001F0F0C">
        <w:rPr>
          <w:rFonts w:ascii="Arial" w:hAnsi="Arial" w:cs="Arial"/>
          <w:sz w:val="24"/>
          <w:szCs w:val="24"/>
        </w:rPr>
        <w:t xml:space="preserve"> г.</w:t>
      </w:r>
    </w:p>
    <w:p w:rsidR="0084174B" w:rsidRPr="001F0F0C" w:rsidRDefault="0084174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E632C1" w:rsidRPr="001F0F0C" w:rsidRDefault="00E632C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C4397" w:rsidRPr="001F0F0C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Глава </w:t>
      </w:r>
      <w:r w:rsidR="0084174B" w:rsidRPr="001F0F0C">
        <w:rPr>
          <w:rFonts w:ascii="Arial" w:hAnsi="Arial" w:cs="Arial"/>
          <w:sz w:val="24"/>
          <w:szCs w:val="24"/>
        </w:rPr>
        <w:t>Рыбинского</w:t>
      </w:r>
    </w:p>
    <w:p w:rsidR="008C6F85" w:rsidRPr="001F0F0C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сельского поселения</w:t>
      </w:r>
      <w:r w:rsidRPr="001F0F0C">
        <w:rPr>
          <w:rFonts w:ascii="Arial" w:hAnsi="Arial" w:cs="Arial"/>
          <w:sz w:val="24"/>
          <w:szCs w:val="24"/>
        </w:rPr>
        <w:tab/>
      </w:r>
      <w:r w:rsidRPr="001F0F0C">
        <w:rPr>
          <w:rFonts w:ascii="Arial" w:hAnsi="Arial" w:cs="Arial"/>
          <w:sz w:val="24"/>
          <w:szCs w:val="24"/>
        </w:rPr>
        <w:tab/>
      </w:r>
      <w:r w:rsidRPr="001F0F0C">
        <w:rPr>
          <w:rFonts w:ascii="Arial" w:hAnsi="Arial" w:cs="Arial"/>
          <w:sz w:val="24"/>
          <w:szCs w:val="24"/>
        </w:rPr>
        <w:tab/>
      </w:r>
      <w:r w:rsidRPr="001F0F0C">
        <w:rPr>
          <w:rFonts w:ascii="Arial" w:hAnsi="Arial" w:cs="Arial"/>
          <w:sz w:val="24"/>
          <w:szCs w:val="24"/>
        </w:rPr>
        <w:tab/>
      </w:r>
      <w:r w:rsidRPr="001F0F0C">
        <w:rPr>
          <w:rFonts w:ascii="Arial" w:hAnsi="Arial" w:cs="Arial"/>
          <w:sz w:val="24"/>
          <w:szCs w:val="24"/>
        </w:rPr>
        <w:tab/>
      </w:r>
      <w:r w:rsidRPr="001F0F0C">
        <w:rPr>
          <w:rFonts w:ascii="Arial" w:hAnsi="Arial" w:cs="Arial"/>
          <w:sz w:val="24"/>
          <w:szCs w:val="24"/>
        </w:rPr>
        <w:tab/>
      </w:r>
      <w:r w:rsidRPr="001F0F0C">
        <w:rPr>
          <w:rFonts w:ascii="Arial" w:hAnsi="Arial" w:cs="Arial"/>
          <w:sz w:val="24"/>
          <w:szCs w:val="24"/>
        </w:rPr>
        <w:tab/>
      </w:r>
      <w:r w:rsidR="0084174B" w:rsidRPr="001F0F0C">
        <w:rPr>
          <w:rFonts w:ascii="Arial" w:hAnsi="Arial" w:cs="Arial"/>
          <w:sz w:val="24"/>
          <w:szCs w:val="24"/>
        </w:rPr>
        <w:t xml:space="preserve">     В</w:t>
      </w:r>
      <w:r w:rsidRPr="001F0F0C">
        <w:rPr>
          <w:rFonts w:ascii="Arial" w:hAnsi="Arial" w:cs="Arial"/>
          <w:sz w:val="24"/>
          <w:szCs w:val="24"/>
        </w:rPr>
        <w:t xml:space="preserve">.С. </w:t>
      </w:r>
      <w:r w:rsidR="0084174B" w:rsidRPr="001F0F0C">
        <w:rPr>
          <w:rFonts w:ascii="Arial" w:hAnsi="Arial" w:cs="Arial"/>
          <w:sz w:val="24"/>
          <w:szCs w:val="24"/>
        </w:rPr>
        <w:t>Сергеева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Pr="001F0F0C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Pr="001F0F0C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F85" w:rsidRPr="001F0F0C" w:rsidRDefault="008C6F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F0C" w:rsidRPr="001F0F0C" w:rsidRDefault="001F0F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F0C" w:rsidRPr="001F0F0C" w:rsidRDefault="001F0F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F0C" w:rsidRPr="001F0F0C" w:rsidRDefault="001F0F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F0C" w:rsidRPr="001F0F0C" w:rsidRDefault="001F0F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F0C" w:rsidRPr="001F0F0C" w:rsidRDefault="001F0F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645B" w:rsidRDefault="00C664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6645B" w:rsidRDefault="00C664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6645B" w:rsidRDefault="00C664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6645B" w:rsidRDefault="00C664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6645B" w:rsidRDefault="00C664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6645B" w:rsidRDefault="00C664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6645B" w:rsidRDefault="00C664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C4397" w:rsidRPr="001F0F0C" w:rsidRDefault="008C6F8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Постановлением</w:t>
      </w:r>
    </w:p>
    <w:p w:rsidR="007C4397" w:rsidRPr="001F0F0C" w:rsidRDefault="007C4397" w:rsidP="00E632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от </w:t>
      </w:r>
      <w:r w:rsidR="001F0F0C" w:rsidRPr="001F0F0C">
        <w:rPr>
          <w:rFonts w:ascii="Arial" w:hAnsi="Arial" w:cs="Arial"/>
          <w:sz w:val="24"/>
          <w:szCs w:val="24"/>
        </w:rPr>
        <w:t xml:space="preserve">17.01.2024г. </w:t>
      </w:r>
      <w:r w:rsidR="00E632C1" w:rsidRPr="001F0F0C">
        <w:rPr>
          <w:rFonts w:ascii="Arial" w:hAnsi="Arial" w:cs="Arial"/>
          <w:sz w:val="24"/>
          <w:szCs w:val="24"/>
        </w:rPr>
        <w:t>№</w:t>
      </w:r>
      <w:r w:rsidR="001F0F0C" w:rsidRPr="001F0F0C">
        <w:rPr>
          <w:rFonts w:ascii="Arial" w:hAnsi="Arial" w:cs="Arial"/>
          <w:sz w:val="24"/>
          <w:szCs w:val="24"/>
        </w:rPr>
        <w:t>04</w:t>
      </w:r>
    </w:p>
    <w:p w:rsidR="00E632C1" w:rsidRPr="001F0F0C" w:rsidRDefault="00E632C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</w:p>
    <w:p w:rsidR="007C4397" w:rsidRPr="001F0F0C" w:rsidRDefault="007C43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ПОРЯДОК</w:t>
      </w:r>
    </w:p>
    <w:p w:rsidR="007C4397" w:rsidRPr="001F0F0C" w:rsidRDefault="007C43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САНКЦИОНИРОВАНИЯ ОПЛАТЫ ДЕНЕЖНЫХ ОБЯЗАТЕЛЬСТВ</w:t>
      </w:r>
    </w:p>
    <w:p w:rsidR="007C4397" w:rsidRPr="001F0F0C" w:rsidRDefault="007C43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И ОПЛАТЫ ДЕНЕЖНЫХ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ОБЯЗАТЕЛЬСТВ, ПОДЛЕЖАЩИХ ИСПОЛНЕНИЮ ЗА СЧЕТ БЮДЖЕТНЫХ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АССИГНОВАНИЙ ПО ИСТОЧНИКАМ ФИНАНСИРОВАНИЯ ДЕФИЦИТА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</w:p>
    <w:p w:rsidR="007C4397" w:rsidRPr="001F0F0C" w:rsidRDefault="007C4397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1. Настоящий Порядок устанавливает порядок санкционирования </w:t>
      </w:r>
      <w:r w:rsidR="00E632C1" w:rsidRPr="001F0F0C">
        <w:rPr>
          <w:rFonts w:ascii="Arial" w:hAnsi="Arial" w:cs="Arial"/>
          <w:sz w:val="24"/>
          <w:szCs w:val="24"/>
        </w:rPr>
        <w:t>органом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="00E632C1" w:rsidRPr="001F0F0C">
        <w:rPr>
          <w:rFonts w:ascii="Arial" w:hAnsi="Arial" w:cs="Arial"/>
          <w:sz w:val="24"/>
          <w:szCs w:val="24"/>
        </w:rPr>
        <w:t>осуществляющим</w:t>
      </w:r>
      <w:r w:rsidR="00801B5A" w:rsidRPr="001F0F0C">
        <w:rPr>
          <w:rFonts w:ascii="Arial" w:hAnsi="Arial" w:cs="Arial"/>
          <w:sz w:val="24"/>
          <w:szCs w:val="24"/>
        </w:rPr>
        <w:t xml:space="preserve"> открытие и ведение лицевого счета получателя средств местного бюджета </w:t>
      </w:r>
      <w:r w:rsidRPr="001F0F0C">
        <w:rPr>
          <w:rFonts w:ascii="Arial" w:hAnsi="Arial" w:cs="Arial"/>
          <w:sz w:val="24"/>
          <w:szCs w:val="24"/>
        </w:rPr>
        <w:t>(</w:t>
      </w:r>
      <w:r w:rsidR="00801B5A" w:rsidRPr="001F0F0C">
        <w:rPr>
          <w:rFonts w:ascii="Arial" w:hAnsi="Arial" w:cs="Arial"/>
          <w:sz w:val="24"/>
          <w:szCs w:val="24"/>
        </w:rPr>
        <w:t>далее – орган</w:t>
      </w:r>
      <w:r w:rsidR="00E632C1" w:rsidRPr="001F0F0C">
        <w:rPr>
          <w:rFonts w:ascii="Arial" w:hAnsi="Arial" w:cs="Arial"/>
          <w:sz w:val="24"/>
          <w:szCs w:val="24"/>
        </w:rPr>
        <w:t>, осуществляющий</w:t>
      </w:r>
      <w:r w:rsidR="00801B5A" w:rsidRPr="001F0F0C">
        <w:rPr>
          <w:rFonts w:ascii="Arial" w:hAnsi="Arial" w:cs="Arial"/>
          <w:sz w:val="24"/>
          <w:szCs w:val="24"/>
        </w:rPr>
        <w:t xml:space="preserve"> ведение лицевого счета</w:t>
      </w:r>
      <w:r w:rsidRPr="001F0F0C">
        <w:rPr>
          <w:rFonts w:ascii="Arial" w:hAnsi="Arial" w:cs="Arial"/>
          <w:sz w:val="24"/>
          <w:szCs w:val="24"/>
        </w:rPr>
        <w:t xml:space="preserve">) оплаты за счет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денежных обязательств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Для оплаты денежных обязательств получатель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(администратор источников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) представляет в </w:t>
      </w:r>
      <w:r w:rsidR="00F16009" w:rsidRPr="001F0F0C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E632C1" w:rsidRPr="001F0F0C">
        <w:rPr>
          <w:rFonts w:ascii="Arial" w:hAnsi="Arial" w:cs="Arial"/>
          <w:sz w:val="24"/>
          <w:szCs w:val="24"/>
        </w:rPr>
        <w:t>,</w:t>
      </w:r>
      <w:r w:rsidRPr="001F0F0C">
        <w:rPr>
          <w:rFonts w:ascii="Arial" w:hAnsi="Arial" w:cs="Arial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обслуживания, установленным Федеральным казначейством &lt;1&gt; (далее - Распоряжение, порядок казначейского обслуживания).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&lt;1&gt;</w:t>
      </w:r>
      <w:hyperlink r:id="rId8">
        <w:r w:rsidRPr="001F0F0C">
          <w:rPr>
            <w:rFonts w:ascii="Arial" w:hAnsi="Arial" w:cs="Arial"/>
            <w:sz w:val="24"/>
            <w:szCs w:val="24"/>
          </w:rPr>
          <w:t>Пункт 4 статьи 242.14</w:t>
        </w:r>
      </w:hyperlink>
      <w:r w:rsidRPr="001F0F0C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1F0F0C">
        <w:rPr>
          <w:rFonts w:ascii="Arial" w:hAnsi="Arial" w:cs="Arial"/>
          <w:sz w:val="24"/>
          <w:szCs w:val="24"/>
        </w:rPr>
        <w:t xml:space="preserve">3. </w:t>
      </w:r>
      <w:r w:rsidR="00F16009" w:rsidRPr="001F0F0C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E632C1" w:rsidRPr="001F0F0C">
        <w:rPr>
          <w:rFonts w:ascii="Arial" w:hAnsi="Arial" w:cs="Arial"/>
          <w:sz w:val="24"/>
          <w:szCs w:val="24"/>
        </w:rPr>
        <w:t>,</w:t>
      </w:r>
      <w:r w:rsidRPr="001F0F0C">
        <w:rPr>
          <w:rFonts w:ascii="Arial" w:hAnsi="Arial" w:cs="Arial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1F0F0C">
          <w:rPr>
            <w:rFonts w:ascii="Arial" w:hAnsi="Arial" w:cs="Arial"/>
            <w:sz w:val="24"/>
            <w:szCs w:val="24"/>
          </w:rPr>
          <w:t>пунктом 4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 (с учетом положений </w:t>
      </w:r>
      <w:hyperlink w:anchor="P107">
        <w:r w:rsidRPr="001F0F0C">
          <w:rPr>
            <w:rFonts w:ascii="Arial" w:hAnsi="Arial" w:cs="Arial"/>
            <w:sz w:val="24"/>
            <w:szCs w:val="24"/>
          </w:rPr>
          <w:t>пункта 5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113">
        <w:r w:rsidRPr="001F0F0C">
          <w:rPr>
            <w:rFonts w:ascii="Arial" w:hAnsi="Arial" w:cs="Arial"/>
            <w:sz w:val="24"/>
            <w:szCs w:val="24"/>
          </w:rPr>
          <w:t>пунктами 6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w:anchor="P159">
        <w:r w:rsidRPr="001F0F0C">
          <w:rPr>
            <w:rFonts w:ascii="Arial" w:hAnsi="Arial" w:cs="Arial"/>
            <w:sz w:val="24"/>
            <w:szCs w:val="24"/>
          </w:rPr>
          <w:t>7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w:anchor="P165">
        <w:r w:rsidRPr="001F0F0C">
          <w:rPr>
            <w:rFonts w:ascii="Arial" w:hAnsi="Arial" w:cs="Arial"/>
            <w:sz w:val="24"/>
            <w:szCs w:val="24"/>
          </w:rPr>
          <w:t>10</w:t>
        </w:r>
      </w:hyperlink>
      <w:r w:rsidRPr="001F0F0C">
        <w:rPr>
          <w:rFonts w:ascii="Arial" w:hAnsi="Arial" w:cs="Arial"/>
          <w:sz w:val="24"/>
          <w:szCs w:val="24"/>
        </w:rPr>
        <w:t xml:space="preserve"> и </w:t>
      </w:r>
      <w:hyperlink w:anchor="P169">
        <w:r w:rsidRPr="001F0F0C">
          <w:rPr>
            <w:rFonts w:ascii="Arial" w:hAnsi="Arial" w:cs="Arial"/>
            <w:sz w:val="24"/>
            <w:szCs w:val="24"/>
          </w:rPr>
          <w:t>11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59">
        <w:r w:rsidRPr="001F0F0C">
          <w:rPr>
            <w:rFonts w:ascii="Arial" w:hAnsi="Arial" w:cs="Arial"/>
            <w:sz w:val="24"/>
            <w:szCs w:val="24"/>
          </w:rPr>
          <w:t>пунктами 7</w:t>
        </w:r>
      </w:hyperlink>
      <w:r w:rsidRPr="001F0F0C">
        <w:rPr>
          <w:rFonts w:ascii="Arial" w:hAnsi="Arial" w:cs="Arial"/>
          <w:sz w:val="24"/>
          <w:szCs w:val="24"/>
        </w:rPr>
        <w:t xml:space="preserve"> - </w:t>
      </w:r>
      <w:hyperlink w:anchor="P163">
        <w:r w:rsidRPr="001F0F0C">
          <w:rPr>
            <w:rFonts w:ascii="Arial" w:hAnsi="Arial" w:cs="Arial"/>
            <w:sz w:val="24"/>
            <w:szCs w:val="24"/>
          </w:rPr>
          <w:t>9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) Распоряжения в </w:t>
      </w:r>
      <w:r w:rsidR="00F16009" w:rsidRPr="001F0F0C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Pr="001F0F0C">
        <w:rPr>
          <w:rFonts w:ascii="Arial" w:hAnsi="Arial" w:cs="Arial"/>
          <w:sz w:val="24"/>
          <w:szCs w:val="24"/>
        </w:rPr>
        <w:t>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6"/>
      <w:bookmarkEnd w:id="3"/>
      <w:r w:rsidRPr="001F0F0C">
        <w:rPr>
          <w:rFonts w:ascii="Arial" w:hAnsi="Arial" w:cs="Arial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0F0C">
        <w:rPr>
          <w:rFonts w:ascii="Arial" w:hAnsi="Arial" w:cs="Arial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) для открытия со</w:t>
      </w:r>
      <w:r w:rsidR="00E632C1" w:rsidRPr="001F0F0C">
        <w:rPr>
          <w:rFonts w:ascii="Arial" w:hAnsi="Arial" w:cs="Arial"/>
          <w:sz w:val="24"/>
          <w:szCs w:val="24"/>
        </w:rPr>
        <w:t xml:space="preserve">ответствующего лицевого счета </w:t>
      </w:r>
      <w:r w:rsidRPr="001F0F0C">
        <w:rPr>
          <w:rFonts w:ascii="Arial" w:hAnsi="Arial" w:cs="Arial"/>
          <w:sz w:val="24"/>
          <w:szCs w:val="24"/>
        </w:rPr>
        <w:t xml:space="preserve">&lt;2&gt; (за исключением Распоряжения, сформированного и </w:t>
      </w:r>
      <w:r w:rsidRPr="001F0F0C">
        <w:rPr>
          <w:rFonts w:ascii="Arial" w:hAnsi="Arial" w:cs="Arial"/>
          <w:sz w:val="24"/>
          <w:szCs w:val="24"/>
        </w:rPr>
        <w:lastRenderedPageBreak/>
        <w:t>подписанного в единой информационной системе в сфере закупок &lt;2.1&gt;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0F0C">
        <w:rPr>
          <w:rFonts w:ascii="Arial" w:hAnsi="Arial" w:cs="Arial"/>
          <w:sz w:val="24"/>
          <w:szCs w:val="24"/>
        </w:rPr>
        <w:t>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&lt;2.2&gt;);</w:t>
      </w:r>
      <w:proofErr w:type="gramEnd"/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&lt;2&gt;</w:t>
      </w:r>
      <w:hyperlink r:id="rId9">
        <w:r w:rsidRPr="001F0F0C">
          <w:rPr>
            <w:rFonts w:ascii="Arial" w:hAnsi="Arial" w:cs="Arial"/>
            <w:sz w:val="24"/>
            <w:szCs w:val="24"/>
          </w:rPr>
          <w:t>Пункт 9 статьи 220.1</w:t>
        </w:r>
      </w:hyperlink>
      <w:r w:rsidRPr="001F0F0C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1F0F0C" w:rsidRDefault="007C4397" w:rsidP="00E632C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&lt;2.1&gt;</w:t>
      </w:r>
      <w:hyperlink r:id="rId10">
        <w:r w:rsidRPr="001F0F0C">
          <w:rPr>
            <w:rFonts w:ascii="Arial" w:hAnsi="Arial" w:cs="Arial"/>
            <w:sz w:val="24"/>
            <w:szCs w:val="24"/>
          </w:rPr>
          <w:t>Положение</w:t>
        </w:r>
      </w:hyperlink>
      <w:r w:rsidRPr="001F0F0C">
        <w:rPr>
          <w:rFonts w:ascii="Arial" w:hAnsi="Arial" w:cs="Arial"/>
          <w:sz w:val="24"/>
          <w:szCs w:val="24"/>
        </w:rPr>
        <w:t xml:space="preserve"> о единой информационной системе в сфере закупок, утвержденное постановлением Правительства Российской </w:t>
      </w:r>
      <w:r w:rsidR="00E632C1" w:rsidRPr="001F0F0C">
        <w:rPr>
          <w:rFonts w:ascii="Arial" w:hAnsi="Arial" w:cs="Arial"/>
          <w:sz w:val="24"/>
          <w:szCs w:val="24"/>
        </w:rPr>
        <w:t>Федерации от 27 января 2022 г. №</w:t>
      </w:r>
      <w:r w:rsidRPr="001F0F0C">
        <w:rPr>
          <w:rFonts w:ascii="Arial" w:hAnsi="Arial" w:cs="Arial"/>
          <w:sz w:val="24"/>
          <w:szCs w:val="24"/>
        </w:rPr>
        <w:t xml:space="preserve"> 60 </w:t>
      </w:r>
    </w:p>
    <w:p w:rsidR="007C4397" w:rsidRPr="001F0F0C" w:rsidRDefault="007C4397" w:rsidP="00E632C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&lt;2.2&gt;</w:t>
      </w:r>
      <w:hyperlink r:id="rId11">
        <w:r w:rsidRPr="001F0F0C">
          <w:rPr>
            <w:rFonts w:ascii="Arial" w:hAnsi="Arial" w:cs="Arial"/>
            <w:sz w:val="24"/>
            <w:szCs w:val="24"/>
          </w:rPr>
          <w:t>Часть 13.1 статьи 34</w:t>
        </w:r>
      </w:hyperlink>
      <w:r w:rsidRPr="001F0F0C">
        <w:rPr>
          <w:rFonts w:ascii="Arial" w:hAnsi="Arial" w:cs="Arial"/>
          <w:sz w:val="24"/>
          <w:szCs w:val="24"/>
        </w:rPr>
        <w:t xml:space="preserve"> Федеральн</w:t>
      </w:r>
      <w:r w:rsidR="00E632C1" w:rsidRPr="001F0F0C">
        <w:rPr>
          <w:rFonts w:ascii="Arial" w:hAnsi="Arial" w:cs="Arial"/>
          <w:sz w:val="24"/>
          <w:szCs w:val="24"/>
        </w:rPr>
        <w:t xml:space="preserve">ого закона от 5 апреля 2013 г. </w:t>
      </w:r>
      <w:r w:rsidR="00E632C1" w:rsidRPr="001F0F0C">
        <w:rPr>
          <w:rFonts w:ascii="Arial" w:hAnsi="Arial" w:cs="Arial"/>
          <w:sz w:val="24"/>
          <w:szCs w:val="24"/>
        </w:rPr>
        <w:br/>
        <w:t>№</w:t>
      </w:r>
      <w:r w:rsidRPr="001F0F0C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обеспечения государ</w:t>
      </w:r>
      <w:r w:rsidR="00E632C1" w:rsidRPr="001F0F0C">
        <w:rPr>
          <w:rFonts w:ascii="Arial" w:hAnsi="Arial" w:cs="Arial"/>
          <w:sz w:val="24"/>
          <w:szCs w:val="24"/>
        </w:rPr>
        <w:t xml:space="preserve">ственных и муниципальных нужд" </w:t>
      </w:r>
    </w:p>
    <w:p w:rsidR="00E632C1" w:rsidRPr="001F0F0C" w:rsidRDefault="00E632C1" w:rsidP="00E632C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6"/>
      <w:bookmarkEnd w:id="4"/>
      <w:r w:rsidRPr="001F0F0C">
        <w:rPr>
          <w:rFonts w:ascii="Arial" w:hAnsi="Arial" w:cs="Arial"/>
          <w:sz w:val="24"/>
          <w:szCs w:val="24"/>
        </w:rPr>
        <w:t xml:space="preserve">2) уникального кода получателя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&lt;3&gt;</w:t>
      </w:r>
      <w:hyperlink r:id="rId12">
        <w:r w:rsidRPr="001F0F0C">
          <w:rPr>
            <w:rFonts w:ascii="Arial" w:hAnsi="Arial" w:cs="Arial"/>
            <w:sz w:val="24"/>
            <w:szCs w:val="24"/>
          </w:rPr>
          <w:t>Абзац двадцатый статьи 165</w:t>
        </w:r>
      </w:hyperlink>
      <w:r w:rsidRPr="001F0F0C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 w:rsidP="00E632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0F0C">
        <w:rPr>
          <w:rFonts w:ascii="Arial" w:hAnsi="Arial" w:cs="Arial"/>
          <w:sz w:val="24"/>
          <w:szCs w:val="24"/>
        </w:rPr>
        <w:t xml:space="preserve">3) кодов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  <w:proofErr w:type="gramEnd"/>
    </w:p>
    <w:p w:rsidR="00E632C1" w:rsidRPr="001F0F0C" w:rsidRDefault="00E632C1" w:rsidP="00E632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0F0C">
        <w:rPr>
          <w:rFonts w:ascii="Arial" w:hAnsi="Arial" w:cs="Arial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3">
        <w:r w:rsidRPr="001F0F0C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1F0F0C">
        <w:rPr>
          <w:rFonts w:ascii="Arial" w:hAnsi="Arial" w:cs="Arial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6) вида средств (средства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="00E632C1" w:rsidRPr="001F0F0C">
        <w:rPr>
          <w:rFonts w:ascii="Arial" w:hAnsi="Arial" w:cs="Arial"/>
          <w:sz w:val="24"/>
          <w:szCs w:val="24"/>
        </w:rPr>
        <w:t>)</w:t>
      </w:r>
      <w:r w:rsidRPr="001F0F0C">
        <w:rPr>
          <w:rFonts w:ascii="Arial" w:hAnsi="Arial" w:cs="Arial"/>
          <w:sz w:val="24"/>
          <w:szCs w:val="24"/>
        </w:rPr>
        <w:t>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1F0F0C">
        <w:rPr>
          <w:rFonts w:ascii="Arial" w:hAnsi="Arial" w:cs="Arial"/>
          <w:sz w:val="24"/>
          <w:szCs w:val="24"/>
        </w:rPr>
        <w:t>дств в Р</w:t>
      </w:r>
      <w:proofErr w:type="gramEnd"/>
      <w:r w:rsidRPr="001F0F0C">
        <w:rPr>
          <w:rFonts w:ascii="Arial" w:hAnsi="Arial" w:cs="Arial"/>
          <w:sz w:val="24"/>
          <w:szCs w:val="24"/>
        </w:rPr>
        <w:t>аспоряжении;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8"/>
      <w:bookmarkEnd w:id="5"/>
      <w:r w:rsidRPr="001F0F0C">
        <w:rPr>
          <w:rFonts w:ascii="Arial" w:hAnsi="Arial" w:cs="Arial"/>
          <w:sz w:val="24"/>
          <w:szCs w:val="24"/>
        </w:rPr>
        <w:t xml:space="preserve">8) номера учтенного в </w:t>
      </w:r>
      <w:r w:rsidR="00A06BA7" w:rsidRPr="001F0F0C">
        <w:rPr>
          <w:rFonts w:ascii="Arial" w:hAnsi="Arial" w:cs="Arial"/>
          <w:sz w:val="24"/>
          <w:szCs w:val="24"/>
        </w:rPr>
        <w:t xml:space="preserve">органе, </w:t>
      </w:r>
      <w:proofErr w:type="gramStart"/>
      <w:r w:rsidR="00A06BA7" w:rsidRPr="001F0F0C">
        <w:rPr>
          <w:rFonts w:ascii="Arial" w:hAnsi="Arial" w:cs="Arial"/>
          <w:sz w:val="24"/>
          <w:szCs w:val="24"/>
        </w:rPr>
        <w:t>осуществляющим</w:t>
      </w:r>
      <w:proofErr w:type="gramEnd"/>
      <w:r w:rsidR="00A06BA7" w:rsidRPr="001F0F0C">
        <w:rPr>
          <w:rFonts w:ascii="Arial" w:hAnsi="Arial" w:cs="Arial"/>
          <w:sz w:val="24"/>
          <w:szCs w:val="24"/>
        </w:rPr>
        <w:t xml:space="preserve"> ведение лицевого счета</w:t>
      </w:r>
      <w:r w:rsidR="00E632C1" w:rsidRPr="001F0F0C">
        <w:rPr>
          <w:rFonts w:ascii="Arial" w:hAnsi="Arial" w:cs="Arial"/>
          <w:sz w:val="24"/>
          <w:szCs w:val="24"/>
        </w:rPr>
        <w:t xml:space="preserve">, </w:t>
      </w:r>
      <w:r w:rsidRPr="001F0F0C">
        <w:rPr>
          <w:rFonts w:ascii="Arial" w:hAnsi="Arial" w:cs="Arial"/>
          <w:sz w:val="24"/>
          <w:szCs w:val="24"/>
        </w:rPr>
        <w:t xml:space="preserve">бюджетного обязательства и номера денежного обязательства получателя </w:t>
      </w:r>
      <w:r w:rsidRPr="001F0F0C">
        <w:rPr>
          <w:rFonts w:ascii="Arial" w:hAnsi="Arial" w:cs="Arial"/>
          <w:sz w:val="24"/>
          <w:szCs w:val="24"/>
        </w:rPr>
        <w:lastRenderedPageBreak/>
        <w:t xml:space="preserve">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(при наличии);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9) номера и серии чека;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10) срока действия чека;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11) фамилии, имени и отчества получателя средств по чеку;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3"/>
      <w:bookmarkEnd w:id="6"/>
      <w:r w:rsidRPr="001F0F0C">
        <w:rPr>
          <w:rFonts w:ascii="Arial" w:hAnsi="Arial" w:cs="Arial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1F0F0C">
        <w:rPr>
          <w:rFonts w:ascii="Arial" w:hAnsi="Arial" w:cs="Arial"/>
          <w:sz w:val="24"/>
          <w:szCs w:val="24"/>
        </w:rPr>
        <w:t xml:space="preserve"> систему Российской Федерации &lt;4</w:t>
      </w:r>
      <w:r w:rsidRPr="001F0F0C">
        <w:rPr>
          <w:rFonts w:ascii="Arial" w:hAnsi="Arial" w:cs="Arial"/>
          <w:sz w:val="24"/>
          <w:szCs w:val="24"/>
        </w:rPr>
        <w:t>&gt;;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</w:t>
      </w:r>
      <w:r w:rsidR="00E632C1" w:rsidRPr="001F0F0C">
        <w:rPr>
          <w:rFonts w:ascii="Arial" w:hAnsi="Arial" w:cs="Arial"/>
          <w:sz w:val="24"/>
          <w:szCs w:val="24"/>
        </w:rPr>
        <w:t>4</w:t>
      </w:r>
      <w:r w:rsidRPr="001F0F0C">
        <w:rPr>
          <w:rFonts w:ascii="Arial" w:hAnsi="Arial" w:cs="Arial"/>
          <w:sz w:val="24"/>
          <w:szCs w:val="24"/>
        </w:rPr>
        <w:t>&gt;</w:t>
      </w:r>
      <w:hyperlink r:id="rId14">
        <w:r w:rsidRPr="001F0F0C">
          <w:rPr>
            <w:rFonts w:ascii="Arial" w:hAnsi="Arial" w:cs="Arial"/>
            <w:sz w:val="24"/>
            <w:szCs w:val="24"/>
          </w:rPr>
          <w:t>Пункт 7 статьи 45</w:t>
        </w:r>
      </w:hyperlink>
      <w:r w:rsidRPr="001F0F0C">
        <w:rPr>
          <w:rFonts w:ascii="Arial" w:hAnsi="Arial" w:cs="Arial"/>
          <w:sz w:val="24"/>
          <w:szCs w:val="24"/>
        </w:rPr>
        <w:t xml:space="preserve"> Налогового кодекса Российской Федерации 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7"/>
      <w:bookmarkEnd w:id="7"/>
      <w:proofErr w:type="gramStart"/>
      <w:r w:rsidRPr="001F0F0C">
        <w:rPr>
          <w:rFonts w:ascii="Arial" w:hAnsi="Arial" w:cs="Arial"/>
          <w:sz w:val="24"/>
          <w:szCs w:val="24"/>
        </w:rPr>
        <w:t>14) реквизитов (номе</w:t>
      </w:r>
      <w:r w:rsidR="00E632C1" w:rsidRPr="001F0F0C">
        <w:rPr>
          <w:rFonts w:ascii="Arial" w:hAnsi="Arial" w:cs="Arial"/>
          <w:sz w:val="24"/>
          <w:szCs w:val="24"/>
        </w:rPr>
        <w:t xml:space="preserve">р, дата) документов (договора (муниципального </w:t>
      </w:r>
      <w:r w:rsidRPr="001F0F0C">
        <w:rPr>
          <w:rFonts w:ascii="Arial" w:hAnsi="Arial" w:cs="Arial"/>
          <w:sz w:val="24"/>
          <w:szCs w:val="24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бюджету </w:t>
      </w:r>
      <w:r w:rsidR="00864F4E" w:rsidRPr="001F0F0C">
        <w:rPr>
          <w:rFonts w:ascii="Arial" w:hAnsi="Arial" w:cs="Arial"/>
          <w:sz w:val="24"/>
          <w:szCs w:val="24"/>
        </w:rPr>
        <w:t xml:space="preserve">иного муниципального образования межбюджетного </w:t>
      </w:r>
      <w:r w:rsidRPr="001F0F0C">
        <w:rPr>
          <w:rFonts w:ascii="Arial" w:hAnsi="Arial" w:cs="Arial"/>
          <w:sz w:val="24"/>
          <w:szCs w:val="24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1F0F0C">
        <w:rPr>
          <w:rFonts w:ascii="Arial" w:hAnsi="Arial" w:cs="Arial"/>
          <w:sz w:val="24"/>
          <w:szCs w:val="24"/>
        </w:rPr>
        <w:t>муниципальному</w:t>
      </w:r>
      <w:r w:rsidRPr="001F0F0C">
        <w:rPr>
          <w:rFonts w:ascii="Arial" w:hAnsi="Arial" w:cs="Arial"/>
          <w:sz w:val="24"/>
          <w:szCs w:val="24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юридическому лицу, индивидуальному предпринимателю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5">
        <w:r w:rsidRPr="001F0F0C">
          <w:rPr>
            <w:rFonts w:ascii="Arial" w:hAnsi="Arial" w:cs="Arial"/>
            <w:sz w:val="24"/>
            <w:szCs w:val="24"/>
          </w:rPr>
          <w:t>статьей 80</w:t>
        </w:r>
      </w:hyperlink>
      <w:r w:rsidRPr="001F0F0C">
        <w:rPr>
          <w:rFonts w:ascii="Arial" w:hAnsi="Arial" w:cs="Arial"/>
          <w:sz w:val="24"/>
          <w:szCs w:val="24"/>
        </w:rPr>
        <w:t xml:space="preserve">Бюджетного кодекса Российской Федерации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, предоставляемых получателями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,</w:t>
      </w:r>
      <w:r w:rsidR="00864F4E" w:rsidRPr="001F0F0C">
        <w:rPr>
          <w:rFonts w:ascii="Arial" w:hAnsi="Arial" w:cs="Arial"/>
          <w:sz w:val="24"/>
          <w:szCs w:val="24"/>
        </w:rPr>
        <w:t xml:space="preserve"> утвержденному </w:t>
      </w:r>
      <w:r w:rsidR="00990255" w:rsidRPr="001F0F0C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84174B" w:rsidRPr="001F0F0C">
        <w:rPr>
          <w:rFonts w:ascii="Arial" w:hAnsi="Arial" w:cs="Arial"/>
          <w:sz w:val="24"/>
          <w:szCs w:val="24"/>
        </w:rPr>
        <w:t>Рыбинского</w:t>
      </w:r>
      <w:r w:rsidR="00990255" w:rsidRPr="001F0F0C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№ </w:t>
      </w:r>
      <w:r w:rsidR="001F0F0C" w:rsidRPr="001F0F0C">
        <w:rPr>
          <w:rFonts w:ascii="Arial" w:hAnsi="Arial" w:cs="Arial"/>
          <w:sz w:val="24"/>
          <w:szCs w:val="24"/>
        </w:rPr>
        <w:t xml:space="preserve">05 </w:t>
      </w:r>
      <w:r w:rsidR="00990255" w:rsidRPr="001F0F0C">
        <w:rPr>
          <w:rFonts w:ascii="Arial" w:hAnsi="Arial" w:cs="Arial"/>
          <w:sz w:val="24"/>
          <w:szCs w:val="24"/>
        </w:rPr>
        <w:t>от</w:t>
      </w:r>
      <w:r w:rsidR="001F0F0C" w:rsidRPr="001F0F0C">
        <w:rPr>
          <w:rFonts w:ascii="Arial" w:hAnsi="Arial" w:cs="Arial"/>
          <w:sz w:val="24"/>
          <w:szCs w:val="24"/>
        </w:rPr>
        <w:t xml:space="preserve"> 17.01.2024г. </w:t>
      </w:r>
      <w:r w:rsidR="00864F4E" w:rsidRPr="001F0F0C">
        <w:rPr>
          <w:rFonts w:ascii="Arial" w:hAnsi="Arial" w:cs="Arial"/>
          <w:sz w:val="24"/>
          <w:szCs w:val="24"/>
        </w:rPr>
        <w:t>&lt;5</w:t>
      </w:r>
      <w:r w:rsidRPr="001F0F0C">
        <w:rPr>
          <w:rFonts w:ascii="Arial" w:hAnsi="Arial" w:cs="Arial"/>
          <w:sz w:val="24"/>
          <w:szCs w:val="24"/>
        </w:rPr>
        <w:t>&gt; (далее - порядок учета обязательств);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</w:t>
      </w:r>
      <w:r w:rsidR="00864F4E" w:rsidRPr="001F0F0C">
        <w:rPr>
          <w:rFonts w:ascii="Arial" w:hAnsi="Arial" w:cs="Arial"/>
          <w:sz w:val="24"/>
          <w:szCs w:val="24"/>
        </w:rPr>
        <w:t>5</w:t>
      </w:r>
      <w:r w:rsidRPr="001F0F0C">
        <w:rPr>
          <w:rFonts w:ascii="Arial" w:hAnsi="Arial" w:cs="Arial"/>
          <w:sz w:val="24"/>
          <w:szCs w:val="24"/>
        </w:rPr>
        <w:t>&gt;</w:t>
      </w:r>
      <w:hyperlink r:id="rId16">
        <w:r w:rsidRPr="001F0F0C">
          <w:rPr>
            <w:rFonts w:ascii="Arial" w:hAnsi="Arial" w:cs="Arial"/>
            <w:sz w:val="24"/>
            <w:szCs w:val="24"/>
          </w:rPr>
          <w:t>Пункт 2 статьи 219</w:t>
        </w:r>
      </w:hyperlink>
      <w:r w:rsidRPr="001F0F0C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0F0C">
        <w:rPr>
          <w:rFonts w:ascii="Arial" w:hAnsi="Arial" w:cs="Arial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7">
        <w:r w:rsidRPr="001F0F0C">
          <w:rPr>
            <w:rFonts w:ascii="Arial" w:hAnsi="Arial" w:cs="Arial"/>
            <w:sz w:val="24"/>
            <w:szCs w:val="24"/>
          </w:rPr>
          <w:t>графой 3</w:t>
        </w:r>
      </w:hyperlink>
      <w:r w:rsidRPr="001F0F0C">
        <w:rPr>
          <w:rFonts w:ascii="Arial" w:hAnsi="Arial" w:cs="Arial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="00864F4E" w:rsidRPr="001F0F0C">
        <w:rPr>
          <w:rFonts w:ascii="Arial" w:hAnsi="Arial" w:cs="Arial"/>
          <w:sz w:val="24"/>
          <w:szCs w:val="24"/>
        </w:rPr>
        <w:t>, являющегося приложением №</w:t>
      </w:r>
      <w:r w:rsidRPr="001F0F0C">
        <w:rPr>
          <w:rFonts w:ascii="Arial" w:hAnsi="Arial" w:cs="Arial"/>
          <w:sz w:val="24"/>
          <w:szCs w:val="24"/>
        </w:rPr>
        <w:t xml:space="preserve"> 3 к Порядку учета бюджетных и денежных обязательств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, утвержденному </w:t>
      </w:r>
      <w:r w:rsidR="00990255" w:rsidRPr="001F0F0C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84174B" w:rsidRPr="001F0F0C">
        <w:rPr>
          <w:rFonts w:ascii="Arial" w:hAnsi="Arial" w:cs="Arial"/>
          <w:sz w:val="24"/>
          <w:szCs w:val="24"/>
        </w:rPr>
        <w:t>Рыбинского</w:t>
      </w:r>
      <w:proofErr w:type="gramEnd"/>
      <w:r w:rsidR="00990255" w:rsidRPr="001F0F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255" w:rsidRPr="001F0F0C">
        <w:rPr>
          <w:rFonts w:ascii="Arial" w:hAnsi="Arial" w:cs="Arial"/>
          <w:sz w:val="24"/>
          <w:szCs w:val="24"/>
        </w:rPr>
        <w:lastRenderedPageBreak/>
        <w:t xml:space="preserve">сельского поселения Ольховского муниципального района Волгоградской области </w:t>
      </w:r>
      <w:r w:rsidRPr="001F0F0C">
        <w:rPr>
          <w:rFonts w:ascii="Arial" w:hAnsi="Arial" w:cs="Arial"/>
          <w:sz w:val="24"/>
          <w:szCs w:val="24"/>
        </w:rPr>
        <w:t xml:space="preserve">от </w:t>
      </w:r>
      <w:r w:rsidR="001F0F0C" w:rsidRPr="001F0F0C">
        <w:rPr>
          <w:rFonts w:ascii="Arial" w:hAnsi="Arial" w:cs="Arial"/>
          <w:sz w:val="24"/>
          <w:szCs w:val="24"/>
        </w:rPr>
        <w:t>17.01.2024г.</w:t>
      </w:r>
      <w:r w:rsidRPr="001F0F0C">
        <w:rPr>
          <w:rFonts w:ascii="Arial" w:hAnsi="Arial" w:cs="Arial"/>
          <w:sz w:val="24"/>
          <w:szCs w:val="24"/>
        </w:rPr>
        <w:t xml:space="preserve"> </w:t>
      </w:r>
      <w:r w:rsidR="00864F4E" w:rsidRPr="001F0F0C">
        <w:rPr>
          <w:rFonts w:ascii="Arial" w:hAnsi="Arial" w:cs="Arial"/>
          <w:sz w:val="24"/>
          <w:szCs w:val="24"/>
        </w:rPr>
        <w:t>№</w:t>
      </w:r>
      <w:r w:rsidR="001F0F0C" w:rsidRPr="001F0F0C">
        <w:rPr>
          <w:rFonts w:ascii="Arial" w:hAnsi="Arial" w:cs="Arial"/>
          <w:sz w:val="24"/>
          <w:szCs w:val="24"/>
        </w:rPr>
        <w:t>05</w:t>
      </w:r>
      <w:r w:rsidRPr="001F0F0C">
        <w:rPr>
          <w:rFonts w:ascii="Arial" w:hAnsi="Arial" w:cs="Arial"/>
          <w:sz w:val="24"/>
          <w:szCs w:val="24"/>
        </w:rPr>
        <w:t xml:space="preserve">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 w:rsidRPr="001F0F0C">
        <w:rPr>
          <w:rFonts w:ascii="Arial" w:hAnsi="Arial" w:cs="Arial"/>
          <w:sz w:val="24"/>
          <w:szCs w:val="24"/>
        </w:rPr>
        <w:t xml:space="preserve">муниципального </w:t>
      </w:r>
      <w:r w:rsidRPr="001F0F0C">
        <w:rPr>
          <w:rFonts w:ascii="Arial" w:hAnsi="Arial" w:cs="Arial"/>
          <w:sz w:val="24"/>
          <w:szCs w:val="24"/>
        </w:rPr>
        <w:t>контракта), внесения арендной платы по договору (</w:t>
      </w:r>
      <w:r w:rsidR="009663E9" w:rsidRPr="001F0F0C">
        <w:rPr>
          <w:rFonts w:ascii="Arial" w:hAnsi="Arial" w:cs="Arial"/>
          <w:sz w:val="24"/>
          <w:szCs w:val="24"/>
        </w:rPr>
        <w:t xml:space="preserve">муниципальному </w:t>
      </w:r>
      <w:r w:rsidRPr="001F0F0C">
        <w:rPr>
          <w:rFonts w:ascii="Arial" w:hAnsi="Arial" w:cs="Arial"/>
          <w:sz w:val="24"/>
          <w:szCs w:val="24"/>
        </w:rPr>
        <w:t>контракту), если условиями таких договоров (</w:t>
      </w:r>
      <w:r w:rsidR="009663E9" w:rsidRPr="001F0F0C">
        <w:rPr>
          <w:rFonts w:ascii="Arial" w:hAnsi="Arial" w:cs="Arial"/>
          <w:sz w:val="24"/>
          <w:szCs w:val="24"/>
        </w:rPr>
        <w:t>муниципальных</w:t>
      </w:r>
      <w:r w:rsidRPr="001F0F0C">
        <w:rPr>
          <w:rFonts w:ascii="Arial" w:hAnsi="Arial" w:cs="Arial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при осуществлении авансовых платежей (внесении арендной платы);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4"/>
      <w:bookmarkEnd w:id="8"/>
      <w:r w:rsidRPr="001F0F0C">
        <w:rPr>
          <w:rFonts w:ascii="Arial" w:hAnsi="Arial" w:cs="Arial"/>
          <w:sz w:val="24"/>
          <w:szCs w:val="24"/>
        </w:rPr>
        <w:t>16) кода источника поступлений целевых сре</w:t>
      </w:r>
      <w:proofErr w:type="gramStart"/>
      <w:r w:rsidRPr="001F0F0C">
        <w:rPr>
          <w:rFonts w:ascii="Arial" w:hAnsi="Arial" w:cs="Arial"/>
          <w:sz w:val="24"/>
          <w:szCs w:val="24"/>
        </w:rPr>
        <w:t>дств в сл</w:t>
      </w:r>
      <w:proofErr w:type="gramEnd"/>
      <w:r w:rsidRPr="001F0F0C">
        <w:rPr>
          <w:rFonts w:ascii="Arial" w:hAnsi="Arial" w:cs="Arial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 &lt;6&gt;;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</w:t>
      </w:r>
      <w:r w:rsidR="009663E9" w:rsidRPr="001F0F0C">
        <w:rPr>
          <w:rFonts w:ascii="Arial" w:hAnsi="Arial" w:cs="Arial"/>
          <w:sz w:val="24"/>
          <w:szCs w:val="24"/>
        </w:rPr>
        <w:t>6</w:t>
      </w:r>
      <w:r w:rsidRPr="001F0F0C">
        <w:rPr>
          <w:rFonts w:ascii="Arial" w:hAnsi="Arial" w:cs="Arial"/>
          <w:sz w:val="24"/>
          <w:szCs w:val="24"/>
        </w:rPr>
        <w:t>&gt;</w:t>
      </w:r>
      <w:hyperlink r:id="rId18">
        <w:r w:rsidRPr="001F0F0C">
          <w:rPr>
            <w:rFonts w:ascii="Arial" w:hAnsi="Arial" w:cs="Arial"/>
            <w:sz w:val="24"/>
            <w:szCs w:val="24"/>
          </w:rPr>
          <w:t>Подпункт 3 пункта 2 статьи 242.23</w:t>
        </w:r>
      </w:hyperlink>
      <w:r w:rsidRPr="001F0F0C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1"/>
      <w:bookmarkEnd w:id="9"/>
      <w:r w:rsidRPr="001F0F0C">
        <w:rPr>
          <w:rFonts w:ascii="Arial" w:hAnsi="Arial" w:cs="Arial"/>
          <w:sz w:val="24"/>
          <w:szCs w:val="24"/>
        </w:rPr>
        <w:t xml:space="preserve">18) уникального номера реестровой записи, идентификатора информации о </w:t>
      </w:r>
      <w:proofErr w:type="gramStart"/>
      <w:r w:rsidRPr="001F0F0C">
        <w:rPr>
          <w:rFonts w:ascii="Arial" w:hAnsi="Arial" w:cs="Arial"/>
          <w:sz w:val="24"/>
          <w:szCs w:val="24"/>
        </w:rPr>
        <w:t>документе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 w:rsidRPr="001F0F0C">
        <w:rPr>
          <w:rFonts w:ascii="Arial" w:hAnsi="Arial" w:cs="Arial"/>
          <w:sz w:val="24"/>
          <w:szCs w:val="24"/>
        </w:rPr>
        <w:t>(далее - реестр контрактов) &lt;7</w:t>
      </w:r>
      <w:r w:rsidRPr="001F0F0C">
        <w:rPr>
          <w:rFonts w:ascii="Arial" w:hAnsi="Arial" w:cs="Arial"/>
          <w:sz w:val="24"/>
          <w:szCs w:val="24"/>
        </w:rPr>
        <w:t>&gt;.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9663E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&lt;7</w:t>
      </w:r>
      <w:r w:rsidR="007C4397" w:rsidRPr="001F0F0C">
        <w:rPr>
          <w:rFonts w:ascii="Arial" w:hAnsi="Arial" w:cs="Arial"/>
          <w:sz w:val="24"/>
          <w:szCs w:val="24"/>
        </w:rPr>
        <w:t>&gt;</w:t>
      </w:r>
      <w:hyperlink r:id="rId19">
        <w:r w:rsidR="007C4397" w:rsidRPr="001F0F0C">
          <w:rPr>
            <w:rFonts w:ascii="Arial" w:hAnsi="Arial" w:cs="Arial"/>
            <w:sz w:val="24"/>
            <w:szCs w:val="24"/>
          </w:rPr>
          <w:t>Пункт 21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</w:t>
      </w:r>
      <w:r w:rsidRPr="001F0F0C">
        <w:rPr>
          <w:rFonts w:ascii="Arial" w:hAnsi="Arial" w:cs="Arial"/>
          <w:sz w:val="24"/>
          <w:szCs w:val="24"/>
        </w:rPr>
        <w:t>№</w:t>
      </w:r>
      <w:r w:rsidR="007C4397" w:rsidRPr="001F0F0C">
        <w:rPr>
          <w:rFonts w:ascii="Arial" w:hAnsi="Arial" w:cs="Arial"/>
          <w:sz w:val="24"/>
          <w:szCs w:val="24"/>
        </w:rPr>
        <w:t>60 (далее - Правила ведения реестра контрактов).</w:t>
      </w: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07"/>
      <w:bookmarkEnd w:id="10"/>
      <w:r w:rsidRPr="001F0F0C">
        <w:rPr>
          <w:rFonts w:ascii="Arial" w:hAnsi="Arial" w:cs="Arial"/>
          <w:sz w:val="24"/>
          <w:szCs w:val="24"/>
        </w:rPr>
        <w:t xml:space="preserve">5. Требования </w:t>
      </w:r>
      <w:hyperlink w:anchor="P87">
        <w:r w:rsidRPr="001F0F0C">
          <w:rPr>
            <w:rFonts w:ascii="Arial" w:hAnsi="Arial" w:cs="Arial"/>
            <w:sz w:val="24"/>
            <w:szCs w:val="24"/>
          </w:rPr>
          <w:t>подпунктов 14</w:t>
        </w:r>
      </w:hyperlink>
      <w:r w:rsidRPr="001F0F0C">
        <w:rPr>
          <w:rFonts w:ascii="Arial" w:hAnsi="Arial" w:cs="Arial"/>
          <w:sz w:val="24"/>
          <w:szCs w:val="24"/>
        </w:rPr>
        <w:t xml:space="preserve"> - </w:t>
      </w:r>
      <w:hyperlink w:anchor="P94">
        <w:r w:rsidRPr="001F0F0C">
          <w:rPr>
            <w:rFonts w:ascii="Arial" w:hAnsi="Arial" w:cs="Arial"/>
            <w:sz w:val="24"/>
            <w:szCs w:val="24"/>
          </w:rPr>
          <w:t>16 пункта 4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 не применяются в отношении: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Распоряжения при перечислении сре</w:t>
      </w:r>
      <w:proofErr w:type="gramStart"/>
      <w:r w:rsidRPr="001F0F0C">
        <w:rPr>
          <w:rFonts w:ascii="Arial" w:hAnsi="Arial" w:cs="Arial"/>
          <w:sz w:val="24"/>
          <w:szCs w:val="24"/>
        </w:rPr>
        <w:t>дств стр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уктурным (обособленным) подразделениям получателей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, не наделенным полномочиями по ведению бюджетного учета.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Требования </w:t>
      </w:r>
      <w:hyperlink w:anchor="P87">
        <w:r w:rsidRPr="001F0F0C">
          <w:rPr>
            <w:rFonts w:ascii="Arial" w:hAnsi="Arial" w:cs="Arial"/>
            <w:sz w:val="24"/>
            <w:szCs w:val="24"/>
          </w:rPr>
          <w:t>подпункта 14 пункта 4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1F0F0C">
        <w:rPr>
          <w:rFonts w:ascii="Arial" w:hAnsi="Arial" w:cs="Arial"/>
          <w:sz w:val="24"/>
          <w:szCs w:val="24"/>
        </w:rPr>
        <w:t xml:space="preserve">муниципального </w:t>
      </w:r>
      <w:r w:rsidRPr="001F0F0C">
        <w:rPr>
          <w:rFonts w:ascii="Arial" w:hAnsi="Arial" w:cs="Arial"/>
          <w:sz w:val="24"/>
          <w:szCs w:val="24"/>
        </w:rPr>
        <w:t xml:space="preserve">контракта) </w:t>
      </w:r>
      <w:r w:rsidRPr="001F0F0C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 не предусмотрено.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) в рамках одного денежного обязательства получателя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).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13"/>
      <w:bookmarkEnd w:id="11"/>
      <w:r w:rsidRPr="001F0F0C">
        <w:rPr>
          <w:rFonts w:ascii="Arial" w:hAnsi="Arial" w:cs="Arial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14"/>
      <w:bookmarkEnd w:id="12"/>
      <w:r w:rsidRPr="001F0F0C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17"/>
      <w:bookmarkEnd w:id="13"/>
      <w:r w:rsidRPr="001F0F0C">
        <w:rPr>
          <w:rFonts w:ascii="Arial" w:hAnsi="Arial" w:cs="Arial"/>
          <w:sz w:val="24"/>
          <w:szCs w:val="24"/>
        </w:rPr>
        <w:t xml:space="preserve">3) соответствие указанных в Распоряжении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2969D6" w:rsidRPr="001F0F0C">
        <w:rPr>
          <w:rFonts w:ascii="Arial" w:hAnsi="Arial" w:cs="Arial"/>
          <w:sz w:val="24"/>
          <w:szCs w:val="24"/>
        </w:rPr>
        <w:t>8</w:t>
      </w:r>
      <w:r w:rsidRPr="001F0F0C">
        <w:rPr>
          <w:rFonts w:ascii="Arial" w:hAnsi="Arial" w:cs="Arial"/>
          <w:sz w:val="24"/>
          <w:szCs w:val="24"/>
        </w:rPr>
        <w:t>&gt; (далее - порядок применения бюджетной классификации);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2969D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&lt;8</w:t>
      </w:r>
      <w:r w:rsidR="007C4397" w:rsidRPr="001F0F0C">
        <w:rPr>
          <w:rFonts w:ascii="Arial" w:hAnsi="Arial" w:cs="Arial"/>
          <w:sz w:val="24"/>
          <w:szCs w:val="24"/>
        </w:rPr>
        <w:t>&gt;</w:t>
      </w:r>
      <w:hyperlink r:id="rId20">
        <w:r w:rsidR="007C4397" w:rsidRPr="001F0F0C">
          <w:rPr>
            <w:rFonts w:ascii="Arial" w:hAnsi="Arial" w:cs="Arial"/>
            <w:sz w:val="24"/>
            <w:szCs w:val="24"/>
          </w:rPr>
          <w:t>Пункт 2 статьи 18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21"/>
      <w:bookmarkEnd w:id="14"/>
      <w:r w:rsidRPr="001F0F0C">
        <w:rPr>
          <w:rFonts w:ascii="Arial" w:hAnsi="Arial" w:cs="Arial"/>
          <w:sz w:val="24"/>
          <w:szCs w:val="24"/>
        </w:rPr>
        <w:t>4) не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22"/>
      <w:bookmarkEnd w:id="15"/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28"/>
      <w:bookmarkEnd w:id="16"/>
      <w:r w:rsidRPr="001F0F0C">
        <w:rPr>
          <w:rFonts w:ascii="Arial" w:hAnsi="Arial" w:cs="Arial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на соответствующие казначейские счета;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8) идентичность кода (кодов)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по денежному обязательству и платежу;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0F0C">
        <w:rPr>
          <w:rFonts w:ascii="Arial" w:hAnsi="Arial" w:cs="Arial"/>
          <w:sz w:val="24"/>
          <w:szCs w:val="24"/>
        </w:rPr>
        <w:lastRenderedPageBreak/>
        <w:t>10) не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11) соответствие кода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и уникального кода объекта капитального строительства или</w:t>
      </w:r>
      <w:r w:rsidR="002969D6" w:rsidRPr="001F0F0C">
        <w:rPr>
          <w:rFonts w:ascii="Arial" w:hAnsi="Arial" w:cs="Arial"/>
          <w:sz w:val="24"/>
          <w:szCs w:val="24"/>
        </w:rPr>
        <w:t xml:space="preserve"> объекта недвижимого имущества </w:t>
      </w:r>
      <w:r w:rsidRPr="001F0F0C">
        <w:rPr>
          <w:rFonts w:ascii="Arial" w:hAnsi="Arial" w:cs="Arial"/>
          <w:sz w:val="24"/>
          <w:szCs w:val="24"/>
        </w:rPr>
        <w:t>по денежному обязательству и платежу;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12) не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превышение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 w:rsidRPr="001F0F0C">
        <w:rPr>
          <w:rFonts w:ascii="Arial" w:hAnsi="Arial" w:cs="Arial"/>
          <w:sz w:val="24"/>
          <w:szCs w:val="24"/>
        </w:rPr>
        <w:t>муниципального</w:t>
      </w:r>
      <w:r w:rsidRPr="001F0F0C">
        <w:rPr>
          <w:rFonts w:ascii="Arial" w:hAnsi="Arial" w:cs="Arial"/>
          <w:sz w:val="24"/>
          <w:szCs w:val="24"/>
        </w:rPr>
        <w:t xml:space="preserve"> контракта) в случае, если договором (</w:t>
      </w:r>
      <w:r w:rsidR="002969D6" w:rsidRPr="001F0F0C">
        <w:rPr>
          <w:rFonts w:ascii="Arial" w:hAnsi="Arial" w:cs="Arial"/>
          <w:sz w:val="24"/>
          <w:szCs w:val="24"/>
        </w:rPr>
        <w:t>муниципальным</w:t>
      </w:r>
      <w:r w:rsidRPr="001F0F0C">
        <w:rPr>
          <w:rFonts w:ascii="Arial" w:hAnsi="Arial" w:cs="Arial"/>
          <w:sz w:val="24"/>
          <w:szCs w:val="24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37"/>
      <w:bookmarkEnd w:id="17"/>
      <w:r w:rsidRPr="001F0F0C">
        <w:rPr>
          <w:rFonts w:ascii="Arial" w:hAnsi="Arial" w:cs="Arial"/>
          <w:sz w:val="24"/>
          <w:szCs w:val="24"/>
        </w:rPr>
        <w:t xml:space="preserve">13) соответствие уникального номера реестровой записи в реестре контрактов </w:t>
      </w:r>
      <w:r w:rsidR="002969D6" w:rsidRPr="001F0F0C">
        <w:rPr>
          <w:rFonts w:ascii="Arial" w:hAnsi="Arial" w:cs="Arial"/>
          <w:sz w:val="24"/>
          <w:szCs w:val="24"/>
        </w:rPr>
        <w:t xml:space="preserve">(далее - реестр контрактов) &lt;9&gt;, договору (муниципальному </w:t>
      </w:r>
      <w:r w:rsidRPr="001F0F0C">
        <w:rPr>
          <w:rFonts w:ascii="Arial" w:hAnsi="Arial" w:cs="Arial"/>
          <w:sz w:val="24"/>
          <w:szCs w:val="24"/>
        </w:rPr>
        <w:t>контракту), подлежащему включению в реестр контрактов, указанных в Распоряжении;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2969D6" w:rsidP="002969D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&lt;9</w:t>
      </w:r>
      <w:r w:rsidR="007C4397" w:rsidRPr="001F0F0C">
        <w:rPr>
          <w:rFonts w:ascii="Arial" w:hAnsi="Arial" w:cs="Arial"/>
          <w:sz w:val="24"/>
          <w:szCs w:val="24"/>
        </w:rPr>
        <w:t>&gt;</w:t>
      </w:r>
      <w:hyperlink r:id="rId21">
        <w:r w:rsidR="007C4397" w:rsidRPr="001F0F0C">
          <w:rPr>
            <w:rFonts w:ascii="Arial" w:hAnsi="Arial" w:cs="Arial"/>
            <w:sz w:val="24"/>
            <w:szCs w:val="24"/>
          </w:rPr>
          <w:t>Пункт 20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Правил ведения реестра контрактов и </w:t>
      </w:r>
      <w:hyperlink r:id="rId22">
        <w:r w:rsidR="007C4397" w:rsidRPr="001F0F0C">
          <w:rPr>
            <w:rFonts w:ascii="Arial" w:hAnsi="Arial" w:cs="Arial"/>
            <w:sz w:val="24"/>
            <w:szCs w:val="24"/>
          </w:rPr>
          <w:t>пункт 15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</w:t>
      </w:r>
      <w:r w:rsidRPr="001F0F0C">
        <w:rPr>
          <w:rFonts w:ascii="Arial" w:hAnsi="Arial" w:cs="Arial"/>
          <w:sz w:val="24"/>
          <w:szCs w:val="24"/>
        </w:rPr>
        <w:t xml:space="preserve">ии от 28 ноября 2013 г. № 1084 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44"/>
      <w:bookmarkEnd w:id="18"/>
      <w:r w:rsidRPr="001F0F0C">
        <w:rPr>
          <w:rFonts w:ascii="Arial" w:hAnsi="Arial" w:cs="Arial"/>
          <w:sz w:val="24"/>
          <w:szCs w:val="24"/>
        </w:rPr>
        <w:t>14) не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 xml:space="preserve"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2969D6" w:rsidRPr="001F0F0C">
        <w:rPr>
          <w:rFonts w:ascii="Arial" w:hAnsi="Arial" w:cs="Arial"/>
          <w:sz w:val="24"/>
          <w:szCs w:val="24"/>
        </w:rPr>
        <w:t>муниципальным правовым актом;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45"/>
      <w:bookmarkEnd w:id="19"/>
      <w:r w:rsidRPr="001F0F0C">
        <w:rPr>
          <w:rFonts w:ascii="Arial" w:hAnsi="Arial" w:cs="Arial"/>
          <w:sz w:val="24"/>
          <w:szCs w:val="24"/>
        </w:rPr>
        <w:t>15) не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146"/>
      <w:bookmarkEnd w:id="20"/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150"/>
      <w:bookmarkEnd w:id="21"/>
      <w:proofErr w:type="gramStart"/>
      <w:r w:rsidRPr="001F0F0C">
        <w:rPr>
          <w:rFonts w:ascii="Arial" w:hAnsi="Arial" w:cs="Arial"/>
          <w:sz w:val="24"/>
          <w:szCs w:val="24"/>
        </w:rPr>
        <w:t>1</w:t>
      </w:r>
      <w:r w:rsidR="00990255" w:rsidRPr="001F0F0C">
        <w:rPr>
          <w:rFonts w:ascii="Arial" w:hAnsi="Arial" w:cs="Arial"/>
          <w:sz w:val="24"/>
          <w:szCs w:val="24"/>
        </w:rPr>
        <w:t>6</w:t>
      </w:r>
      <w:r w:rsidRPr="001F0F0C">
        <w:rPr>
          <w:rFonts w:ascii="Arial" w:hAnsi="Arial" w:cs="Arial"/>
          <w:sz w:val="24"/>
          <w:szCs w:val="24"/>
        </w:rPr>
        <w:t>) соответствие идентификатора договора (</w:t>
      </w:r>
      <w:r w:rsidR="002969D6" w:rsidRPr="001F0F0C">
        <w:rPr>
          <w:rFonts w:ascii="Arial" w:hAnsi="Arial" w:cs="Arial"/>
          <w:sz w:val="24"/>
          <w:szCs w:val="24"/>
        </w:rPr>
        <w:t xml:space="preserve">муниципального </w:t>
      </w:r>
      <w:r w:rsidRPr="001F0F0C">
        <w:rPr>
          <w:rFonts w:ascii="Arial" w:hAnsi="Arial" w:cs="Arial"/>
          <w:sz w:val="24"/>
          <w:szCs w:val="24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1F0F0C">
        <w:rPr>
          <w:rFonts w:ascii="Arial" w:hAnsi="Arial" w:cs="Arial"/>
          <w:sz w:val="24"/>
          <w:szCs w:val="24"/>
        </w:rPr>
        <w:t xml:space="preserve">муниципальном </w:t>
      </w:r>
      <w:r w:rsidRPr="001F0F0C">
        <w:rPr>
          <w:rFonts w:ascii="Arial" w:hAnsi="Arial" w:cs="Arial"/>
          <w:sz w:val="24"/>
          <w:szCs w:val="24"/>
        </w:rPr>
        <w:t>контракте), соглашении, договоре о предоставлении инвестиций (при наличии);</w:t>
      </w:r>
      <w:proofErr w:type="gramEnd"/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1</w:t>
      </w:r>
      <w:r w:rsidR="00990255" w:rsidRPr="001F0F0C">
        <w:rPr>
          <w:rFonts w:ascii="Arial" w:hAnsi="Arial" w:cs="Arial"/>
          <w:sz w:val="24"/>
          <w:szCs w:val="24"/>
        </w:rPr>
        <w:t>7</w:t>
      </w:r>
      <w:r w:rsidRPr="001F0F0C">
        <w:rPr>
          <w:rFonts w:ascii="Arial" w:hAnsi="Arial" w:cs="Arial"/>
          <w:sz w:val="24"/>
          <w:szCs w:val="24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154"/>
      <w:bookmarkEnd w:id="22"/>
      <w:r w:rsidRPr="001F0F0C">
        <w:rPr>
          <w:rFonts w:ascii="Arial" w:hAnsi="Arial" w:cs="Arial"/>
          <w:sz w:val="24"/>
          <w:szCs w:val="24"/>
        </w:rPr>
        <w:t>1</w:t>
      </w:r>
      <w:r w:rsidR="00990255" w:rsidRPr="001F0F0C">
        <w:rPr>
          <w:rFonts w:ascii="Arial" w:hAnsi="Arial" w:cs="Arial"/>
          <w:sz w:val="24"/>
          <w:szCs w:val="24"/>
        </w:rPr>
        <w:t>8</w:t>
      </w:r>
      <w:r w:rsidRPr="001F0F0C">
        <w:rPr>
          <w:rFonts w:ascii="Arial" w:hAnsi="Arial" w:cs="Arial"/>
          <w:sz w:val="24"/>
          <w:szCs w:val="24"/>
        </w:rPr>
        <w:t>) не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превышение суммы Распоряжения над суммой, указанной в документе, подтверждающем возникновение денежного обязательства.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156"/>
      <w:bookmarkStart w:id="24" w:name="P159"/>
      <w:bookmarkEnd w:id="23"/>
      <w:bookmarkEnd w:id="24"/>
      <w:r w:rsidRPr="001F0F0C">
        <w:rPr>
          <w:rFonts w:ascii="Arial" w:hAnsi="Arial" w:cs="Arial"/>
          <w:sz w:val="24"/>
          <w:szCs w:val="24"/>
        </w:rPr>
        <w:lastRenderedPageBreak/>
        <w:t xml:space="preserve">7.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В случае если Распоряжение представляется для оплаты денежного обязательства, сформированного </w:t>
      </w:r>
      <w:r w:rsidR="00F16009" w:rsidRPr="001F0F0C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="000A22DD" w:rsidRPr="001F0F0C">
        <w:rPr>
          <w:rFonts w:ascii="Arial" w:hAnsi="Arial" w:cs="Arial"/>
          <w:sz w:val="24"/>
          <w:szCs w:val="24"/>
        </w:rPr>
        <w:t>,</w:t>
      </w:r>
      <w:r w:rsidRPr="001F0F0C">
        <w:rPr>
          <w:rFonts w:ascii="Arial" w:hAnsi="Arial" w:cs="Arial"/>
          <w:sz w:val="24"/>
          <w:szCs w:val="24"/>
        </w:rPr>
        <w:t xml:space="preserve"> в соответствии с порядком учета обязательств, получатель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представляет в </w:t>
      </w:r>
      <w:r w:rsidR="00F16009" w:rsidRPr="001F0F0C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1F0F0C">
        <w:rPr>
          <w:rFonts w:ascii="Arial" w:hAnsi="Arial" w:cs="Arial"/>
          <w:sz w:val="24"/>
          <w:szCs w:val="24"/>
        </w:rPr>
        <w:t>,</w:t>
      </w:r>
      <w:r w:rsidRPr="001F0F0C">
        <w:rPr>
          <w:rFonts w:ascii="Arial" w:hAnsi="Arial" w:cs="Arial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23">
        <w:r w:rsidRPr="001F0F0C">
          <w:rPr>
            <w:rFonts w:ascii="Arial" w:hAnsi="Arial" w:cs="Arial"/>
            <w:sz w:val="24"/>
            <w:szCs w:val="24"/>
          </w:rPr>
          <w:t>пунктах 11</w:t>
        </w:r>
      </w:hyperlink>
      <w:r w:rsidRPr="001F0F0C">
        <w:rPr>
          <w:rFonts w:ascii="Arial" w:hAnsi="Arial" w:cs="Arial"/>
          <w:sz w:val="24"/>
          <w:szCs w:val="24"/>
        </w:rPr>
        <w:t xml:space="preserve"> - </w:t>
      </w:r>
      <w:hyperlink r:id="rId24">
        <w:r w:rsidRPr="001F0F0C">
          <w:rPr>
            <w:rFonts w:ascii="Arial" w:hAnsi="Arial" w:cs="Arial"/>
            <w:sz w:val="24"/>
            <w:szCs w:val="24"/>
          </w:rPr>
          <w:t>13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r:id="rId25">
        <w:r w:rsidRPr="001F0F0C">
          <w:rPr>
            <w:rFonts w:ascii="Arial" w:hAnsi="Arial" w:cs="Arial"/>
            <w:sz w:val="24"/>
            <w:szCs w:val="24"/>
          </w:rPr>
          <w:t>строке 1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r:id="rId26">
        <w:r w:rsidRPr="001F0F0C">
          <w:rPr>
            <w:rFonts w:ascii="Arial" w:hAnsi="Arial" w:cs="Arial"/>
            <w:sz w:val="24"/>
            <w:szCs w:val="24"/>
          </w:rPr>
          <w:t xml:space="preserve">строках </w:t>
        </w:r>
      </w:hyperlink>
      <w:r w:rsidR="00011627" w:rsidRPr="001F0F0C">
        <w:rPr>
          <w:rFonts w:ascii="Arial" w:hAnsi="Arial" w:cs="Arial"/>
          <w:sz w:val="24"/>
          <w:szCs w:val="24"/>
        </w:rPr>
        <w:t>5 -</w:t>
      </w:r>
      <w:hyperlink r:id="rId27">
        <w:r w:rsidRPr="001F0F0C">
          <w:rPr>
            <w:rFonts w:ascii="Arial" w:hAnsi="Arial" w:cs="Arial"/>
            <w:sz w:val="24"/>
            <w:szCs w:val="24"/>
          </w:rPr>
          <w:t>7</w:t>
        </w:r>
      </w:hyperlink>
      <w:r w:rsidRPr="001F0F0C">
        <w:rPr>
          <w:rFonts w:ascii="Arial" w:hAnsi="Arial" w:cs="Arial"/>
          <w:sz w:val="24"/>
          <w:szCs w:val="24"/>
        </w:rPr>
        <w:t xml:space="preserve"> и </w:t>
      </w:r>
      <w:hyperlink r:id="rId28">
        <w:r w:rsidRPr="001F0F0C">
          <w:rPr>
            <w:rFonts w:ascii="Arial" w:hAnsi="Arial" w:cs="Arial"/>
            <w:sz w:val="24"/>
            <w:szCs w:val="24"/>
          </w:rPr>
          <w:t>10</w:t>
        </w:r>
      </w:hyperlink>
      <w:r w:rsidRPr="001F0F0C">
        <w:rPr>
          <w:rFonts w:ascii="Arial" w:hAnsi="Arial" w:cs="Arial"/>
          <w:sz w:val="24"/>
          <w:szCs w:val="24"/>
        </w:rPr>
        <w:t xml:space="preserve"> - </w:t>
      </w:r>
      <w:hyperlink r:id="rId29">
        <w:r w:rsidRPr="001F0F0C">
          <w:rPr>
            <w:rFonts w:ascii="Arial" w:hAnsi="Arial" w:cs="Arial"/>
            <w:sz w:val="24"/>
            <w:szCs w:val="24"/>
          </w:rPr>
          <w:t>13 пункта 14</w:t>
        </w:r>
        <w:proofErr w:type="gramEnd"/>
        <w:r w:rsidRPr="001F0F0C">
          <w:rPr>
            <w:rFonts w:ascii="Arial" w:hAnsi="Arial" w:cs="Arial"/>
            <w:sz w:val="24"/>
            <w:szCs w:val="24"/>
          </w:rPr>
          <w:t xml:space="preserve"> графы 3</w:t>
        </w:r>
      </w:hyperlink>
      <w:r w:rsidRPr="001F0F0C">
        <w:rPr>
          <w:rFonts w:ascii="Arial" w:hAnsi="Arial" w:cs="Arial"/>
          <w:sz w:val="24"/>
          <w:szCs w:val="24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с физическим лицом, не являющимся индивидуальным предпринимателем, указанного в </w:t>
      </w:r>
      <w:hyperlink r:id="rId30">
        <w:r w:rsidRPr="001F0F0C">
          <w:rPr>
            <w:rFonts w:ascii="Arial" w:hAnsi="Arial" w:cs="Arial"/>
            <w:sz w:val="24"/>
            <w:szCs w:val="24"/>
          </w:rPr>
          <w:t>строке 5 пункта 14</w:t>
        </w:r>
      </w:hyperlink>
      <w:r w:rsidRPr="001F0F0C">
        <w:rPr>
          <w:rFonts w:ascii="Arial" w:hAnsi="Arial" w:cs="Arial"/>
          <w:sz w:val="24"/>
          <w:szCs w:val="24"/>
        </w:rPr>
        <w:t xml:space="preserve"> Перечня, в случае, если сумма указанного договора не превышает 100 тысяч рублей).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1F0F0C">
        <w:rPr>
          <w:rFonts w:ascii="Arial" w:hAnsi="Arial" w:cs="Arial"/>
          <w:sz w:val="24"/>
          <w:szCs w:val="24"/>
        </w:rPr>
        <w:t>ств в сл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113">
        <w:r w:rsidRPr="001F0F0C">
          <w:rPr>
            <w:rFonts w:ascii="Arial" w:hAnsi="Arial" w:cs="Arial"/>
            <w:sz w:val="24"/>
            <w:szCs w:val="24"/>
          </w:rPr>
          <w:t>пунктом 6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C4397" w:rsidRPr="001F0F0C" w:rsidRDefault="000A22D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163"/>
      <w:bookmarkEnd w:id="25"/>
      <w:r w:rsidRPr="001F0F0C">
        <w:rPr>
          <w:rFonts w:ascii="Arial" w:hAnsi="Arial" w:cs="Arial"/>
          <w:sz w:val="24"/>
          <w:szCs w:val="24"/>
        </w:rPr>
        <w:t>8</w:t>
      </w:r>
      <w:r w:rsidR="007C4397" w:rsidRPr="001F0F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4397" w:rsidRPr="001F0F0C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Pr="001F0F0C">
        <w:rPr>
          <w:rFonts w:ascii="Arial" w:hAnsi="Arial" w:cs="Arial"/>
          <w:sz w:val="24"/>
          <w:szCs w:val="24"/>
        </w:rPr>
        <w:t xml:space="preserve">муниципальным </w:t>
      </w:r>
      <w:r w:rsidR="007C4397" w:rsidRPr="001F0F0C">
        <w:rPr>
          <w:rFonts w:ascii="Arial" w:hAnsi="Arial" w:cs="Arial"/>
          <w:sz w:val="24"/>
          <w:szCs w:val="24"/>
        </w:rPr>
        <w:t xml:space="preserve">контрактом), предусматривающим обязанность получателя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="007C4397" w:rsidRPr="001F0F0C">
        <w:rPr>
          <w:rFonts w:ascii="Arial" w:hAnsi="Arial" w:cs="Arial"/>
          <w:sz w:val="24"/>
          <w:szCs w:val="24"/>
        </w:rPr>
        <w:t xml:space="preserve"> - </w:t>
      </w:r>
      <w:r w:rsidRPr="001F0F0C">
        <w:rPr>
          <w:rFonts w:ascii="Arial" w:hAnsi="Arial" w:cs="Arial"/>
          <w:sz w:val="24"/>
          <w:szCs w:val="24"/>
        </w:rPr>
        <w:t>муниципального</w:t>
      </w:r>
      <w:r w:rsidR="007C4397" w:rsidRPr="001F0F0C">
        <w:rPr>
          <w:rFonts w:ascii="Arial" w:hAnsi="Arial" w:cs="Arial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="007C4397" w:rsidRPr="001F0F0C">
        <w:rPr>
          <w:rFonts w:ascii="Arial" w:hAnsi="Arial" w:cs="Arial"/>
          <w:sz w:val="24"/>
          <w:szCs w:val="24"/>
        </w:rPr>
        <w:t xml:space="preserve">, получатель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="007C4397" w:rsidRPr="001F0F0C">
        <w:rPr>
          <w:rFonts w:ascii="Arial" w:hAnsi="Arial" w:cs="Arial"/>
          <w:sz w:val="24"/>
          <w:szCs w:val="24"/>
        </w:rPr>
        <w:t xml:space="preserve"> представляет в </w:t>
      </w:r>
      <w:r w:rsidR="00F16009" w:rsidRPr="001F0F0C">
        <w:rPr>
          <w:rFonts w:ascii="Arial" w:hAnsi="Arial" w:cs="Arial"/>
          <w:sz w:val="24"/>
          <w:szCs w:val="24"/>
        </w:rPr>
        <w:t>орган, осуществляющий ведение лицевого</w:t>
      </w:r>
      <w:proofErr w:type="gramEnd"/>
      <w:r w:rsidR="00F16009" w:rsidRPr="001F0F0C">
        <w:rPr>
          <w:rFonts w:ascii="Arial" w:hAnsi="Arial" w:cs="Arial"/>
          <w:sz w:val="24"/>
          <w:szCs w:val="24"/>
        </w:rPr>
        <w:t xml:space="preserve"> счета</w:t>
      </w:r>
      <w:r w:rsidRPr="001F0F0C">
        <w:rPr>
          <w:rFonts w:ascii="Arial" w:hAnsi="Arial" w:cs="Arial"/>
          <w:sz w:val="24"/>
          <w:szCs w:val="24"/>
        </w:rPr>
        <w:t>,</w:t>
      </w:r>
      <w:r w:rsidR="007C4397" w:rsidRPr="001F0F0C">
        <w:rPr>
          <w:rFonts w:ascii="Arial" w:hAnsi="Arial" w:cs="Arial"/>
          <w:sz w:val="24"/>
          <w:szCs w:val="24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1F0F0C">
        <w:rPr>
          <w:rFonts w:ascii="Arial" w:hAnsi="Arial" w:cs="Arial"/>
          <w:sz w:val="24"/>
          <w:szCs w:val="24"/>
        </w:rPr>
        <w:t>муниципальному</w:t>
      </w:r>
      <w:r w:rsidR="007C4397" w:rsidRPr="001F0F0C">
        <w:rPr>
          <w:rFonts w:ascii="Arial" w:hAnsi="Arial" w:cs="Arial"/>
          <w:sz w:val="24"/>
          <w:szCs w:val="24"/>
        </w:rPr>
        <w:t xml:space="preserve"> контракту) Распоряжение на перечисление в доход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="007C4397" w:rsidRPr="001F0F0C">
        <w:rPr>
          <w:rFonts w:ascii="Arial" w:hAnsi="Arial" w:cs="Arial"/>
          <w:sz w:val="24"/>
          <w:szCs w:val="24"/>
        </w:rPr>
        <w:t xml:space="preserve"> суммы неустойки (штрафа, пеней) по данному договору (</w:t>
      </w:r>
      <w:r w:rsidRPr="001F0F0C">
        <w:rPr>
          <w:rFonts w:ascii="Arial" w:hAnsi="Arial" w:cs="Arial"/>
          <w:sz w:val="24"/>
          <w:szCs w:val="24"/>
        </w:rPr>
        <w:t>муниципальному</w:t>
      </w:r>
      <w:r w:rsidR="007C4397" w:rsidRPr="001F0F0C">
        <w:rPr>
          <w:rFonts w:ascii="Arial" w:hAnsi="Arial" w:cs="Arial"/>
          <w:sz w:val="24"/>
          <w:szCs w:val="24"/>
        </w:rPr>
        <w:t xml:space="preserve"> контракту).</w:t>
      </w:r>
    </w:p>
    <w:p w:rsidR="007C4397" w:rsidRPr="001F0F0C" w:rsidRDefault="000A22D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165"/>
      <w:bookmarkEnd w:id="26"/>
      <w:r w:rsidRPr="001F0F0C">
        <w:rPr>
          <w:rFonts w:ascii="Arial" w:hAnsi="Arial" w:cs="Arial"/>
          <w:sz w:val="24"/>
          <w:szCs w:val="24"/>
        </w:rPr>
        <w:t>9</w:t>
      </w:r>
      <w:r w:rsidR="007C4397" w:rsidRPr="001F0F0C">
        <w:rPr>
          <w:rFonts w:ascii="Arial" w:hAnsi="Arial" w:cs="Arial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0F0C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2) соответствие указанных в Распоряжении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3) не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169"/>
      <w:bookmarkEnd w:id="27"/>
      <w:r w:rsidRPr="001F0F0C">
        <w:rPr>
          <w:rFonts w:ascii="Arial" w:hAnsi="Arial" w:cs="Arial"/>
          <w:sz w:val="24"/>
          <w:szCs w:val="24"/>
        </w:rPr>
        <w:t>1</w:t>
      </w:r>
      <w:r w:rsidR="000A22DD" w:rsidRPr="001F0F0C">
        <w:rPr>
          <w:rFonts w:ascii="Arial" w:hAnsi="Arial" w:cs="Arial"/>
          <w:sz w:val="24"/>
          <w:szCs w:val="24"/>
        </w:rPr>
        <w:t>0</w:t>
      </w:r>
      <w:r w:rsidRPr="001F0F0C">
        <w:rPr>
          <w:rFonts w:ascii="Arial" w:hAnsi="Arial" w:cs="Arial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осуществляется проверка Распоряжения по следующим направлениям: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0F0C">
        <w:rPr>
          <w:rFonts w:ascii="Arial" w:hAnsi="Arial" w:cs="Arial"/>
          <w:sz w:val="24"/>
          <w:szCs w:val="24"/>
        </w:rPr>
        <w:lastRenderedPageBreak/>
        <w:t xml:space="preserve">1) соответствие указанных в Распоряжении кодов классификации источников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2) соответствие указанных в Распоряжении </w:t>
      </w:r>
      <w:proofErr w:type="gramStart"/>
      <w:r w:rsidRPr="001F0F0C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3) не</w:t>
      </w:r>
      <w:r w:rsidR="001F0F0C" w:rsidRPr="001F0F0C">
        <w:rPr>
          <w:rFonts w:ascii="Arial" w:hAnsi="Arial" w:cs="Arial"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173"/>
      <w:bookmarkEnd w:id="28"/>
      <w:r w:rsidRPr="001F0F0C">
        <w:rPr>
          <w:rFonts w:ascii="Arial" w:hAnsi="Arial" w:cs="Arial"/>
          <w:sz w:val="24"/>
          <w:szCs w:val="24"/>
        </w:rPr>
        <w:t>11. При санкционировании оплаты денежных обязательств по договорам (</w:t>
      </w:r>
      <w:r w:rsidR="000A22DD" w:rsidRPr="001F0F0C">
        <w:rPr>
          <w:rFonts w:ascii="Arial" w:hAnsi="Arial" w:cs="Arial"/>
          <w:sz w:val="24"/>
          <w:szCs w:val="24"/>
        </w:rPr>
        <w:t>муниципальным</w:t>
      </w:r>
      <w:r w:rsidRPr="001F0F0C">
        <w:rPr>
          <w:rFonts w:ascii="Arial" w:hAnsi="Arial" w:cs="Arial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9" w:name="P174"/>
    <w:bookmarkEnd w:id="29"/>
    <w:p w:rsidR="007C4397" w:rsidRPr="001F0F0C" w:rsidRDefault="00740D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fldChar w:fldCharType="begin"/>
      </w:r>
      <w:r w:rsidR="007C4397" w:rsidRPr="001F0F0C">
        <w:rPr>
          <w:rFonts w:ascii="Arial" w:hAnsi="Arial" w:cs="Arial"/>
          <w:sz w:val="24"/>
          <w:szCs w:val="24"/>
        </w:rPr>
        <w:instrText xml:space="preserve"> HYPERLINK \l "P66" \h </w:instrText>
      </w:r>
      <w:r w:rsidRPr="001F0F0C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7C4397" w:rsidRPr="001F0F0C">
        <w:rPr>
          <w:rFonts w:ascii="Arial" w:hAnsi="Arial" w:cs="Arial"/>
          <w:sz w:val="24"/>
          <w:szCs w:val="24"/>
        </w:rPr>
        <w:t>подпунктами 2</w:t>
      </w:r>
      <w:r w:rsidRPr="001F0F0C">
        <w:rPr>
          <w:rFonts w:ascii="Arial" w:hAnsi="Arial" w:cs="Arial"/>
          <w:sz w:val="24"/>
          <w:szCs w:val="24"/>
        </w:rPr>
        <w:fldChar w:fldCharType="end"/>
      </w:r>
      <w:r w:rsidR="007C4397" w:rsidRPr="001F0F0C">
        <w:rPr>
          <w:rFonts w:ascii="Arial" w:hAnsi="Arial" w:cs="Arial"/>
          <w:sz w:val="24"/>
          <w:szCs w:val="24"/>
        </w:rPr>
        <w:t xml:space="preserve"> - </w:t>
      </w:r>
      <w:hyperlink w:anchor="P78">
        <w:r w:rsidR="007C4397" w:rsidRPr="001F0F0C">
          <w:rPr>
            <w:rFonts w:ascii="Arial" w:hAnsi="Arial" w:cs="Arial"/>
            <w:sz w:val="24"/>
            <w:szCs w:val="24"/>
          </w:rPr>
          <w:t>8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, </w:t>
      </w:r>
      <w:hyperlink w:anchor="P83">
        <w:r w:rsidR="007C4397" w:rsidRPr="001F0F0C">
          <w:rPr>
            <w:rFonts w:ascii="Arial" w:hAnsi="Arial" w:cs="Arial"/>
            <w:sz w:val="24"/>
            <w:szCs w:val="24"/>
          </w:rPr>
          <w:t>13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- </w:t>
      </w:r>
      <w:hyperlink w:anchor="P101">
        <w:r w:rsidR="007C4397" w:rsidRPr="001F0F0C">
          <w:rPr>
            <w:rFonts w:ascii="Arial" w:hAnsi="Arial" w:cs="Arial"/>
            <w:sz w:val="24"/>
            <w:szCs w:val="24"/>
          </w:rPr>
          <w:t>18 пункта 4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, </w:t>
      </w:r>
      <w:hyperlink w:anchor="P114">
        <w:r w:rsidR="007C4397" w:rsidRPr="001F0F0C">
          <w:rPr>
            <w:rFonts w:ascii="Arial" w:hAnsi="Arial" w:cs="Arial"/>
            <w:sz w:val="24"/>
            <w:szCs w:val="24"/>
          </w:rPr>
          <w:t>подпунктами 1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- </w:t>
      </w:r>
      <w:hyperlink w:anchor="P117">
        <w:r w:rsidR="007C4397" w:rsidRPr="001F0F0C">
          <w:rPr>
            <w:rFonts w:ascii="Arial" w:hAnsi="Arial" w:cs="Arial"/>
            <w:sz w:val="24"/>
            <w:szCs w:val="24"/>
          </w:rPr>
          <w:t>3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, </w:t>
      </w:r>
      <w:hyperlink w:anchor="P128">
        <w:r w:rsidR="007C4397" w:rsidRPr="001F0F0C">
          <w:rPr>
            <w:rFonts w:ascii="Arial" w:hAnsi="Arial" w:cs="Arial"/>
            <w:sz w:val="24"/>
            <w:szCs w:val="24"/>
          </w:rPr>
          <w:t>5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- </w:t>
      </w:r>
      <w:hyperlink w:anchor="P137">
        <w:r w:rsidR="007C4397" w:rsidRPr="001F0F0C">
          <w:rPr>
            <w:rFonts w:ascii="Arial" w:hAnsi="Arial" w:cs="Arial"/>
            <w:sz w:val="24"/>
            <w:szCs w:val="24"/>
          </w:rPr>
          <w:t>13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, </w:t>
      </w:r>
      <w:hyperlink w:anchor="P150">
        <w:r w:rsidR="007C4397" w:rsidRPr="001F0F0C">
          <w:rPr>
            <w:rFonts w:ascii="Arial" w:hAnsi="Arial" w:cs="Arial"/>
            <w:sz w:val="24"/>
            <w:szCs w:val="24"/>
          </w:rPr>
          <w:t>1</w:t>
        </w:r>
      </w:hyperlink>
      <w:r w:rsidR="00011627" w:rsidRPr="001F0F0C">
        <w:rPr>
          <w:rFonts w:ascii="Arial" w:hAnsi="Arial" w:cs="Arial"/>
          <w:sz w:val="24"/>
          <w:szCs w:val="24"/>
        </w:rPr>
        <w:t>6</w:t>
      </w:r>
      <w:r w:rsidR="007C4397" w:rsidRPr="001F0F0C">
        <w:rPr>
          <w:rFonts w:ascii="Arial" w:hAnsi="Arial" w:cs="Arial"/>
          <w:sz w:val="24"/>
          <w:szCs w:val="24"/>
        </w:rPr>
        <w:t xml:space="preserve"> - </w:t>
      </w:r>
      <w:hyperlink w:anchor="P154">
        <w:r w:rsidR="007C4397" w:rsidRPr="001F0F0C">
          <w:rPr>
            <w:rFonts w:ascii="Arial" w:hAnsi="Arial" w:cs="Arial"/>
            <w:sz w:val="24"/>
            <w:szCs w:val="24"/>
          </w:rPr>
          <w:t>1</w:t>
        </w:r>
        <w:r w:rsidR="00011627" w:rsidRPr="001F0F0C">
          <w:rPr>
            <w:rFonts w:ascii="Arial" w:hAnsi="Arial" w:cs="Arial"/>
            <w:sz w:val="24"/>
            <w:szCs w:val="24"/>
          </w:rPr>
          <w:t>8</w:t>
        </w:r>
        <w:r w:rsidR="007C4397" w:rsidRPr="001F0F0C">
          <w:rPr>
            <w:rFonts w:ascii="Arial" w:hAnsi="Arial" w:cs="Arial"/>
            <w:sz w:val="24"/>
            <w:szCs w:val="24"/>
          </w:rPr>
          <w:t xml:space="preserve"> пункта 6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настоящего Порядка - с использованием единой информационной системы в сфере закупок;</w:t>
      </w:r>
      <w:proofErr w:type="gramEnd"/>
    </w:p>
    <w:p w:rsidR="007C4397" w:rsidRPr="001F0F0C" w:rsidRDefault="00740D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w:anchor="P121">
        <w:r w:rsidR="007C4397" w:rsidRPr="001F0F0C">
          <w:rPr>
            <w:rFonts w:ascii="Arial" w:hAnsi="Arial" w:cs="Arial"/>
            <w:sz w:val="24"/>
            <w:szCs w:val="24"/>
          </w:rPr>
          <w:t>подпунктом 4 пункта 6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настоящего Порядка - с использованием информационной системы</w:t>
      </w:r>
      <w:r w:rsidR="000A22DD" w:rsidRPr="001F0F0C">
        <w:rPr>
          <w:rFonts w:ascii="Arial" w:hAnsi="Arial" w:cs="Arial"/>
          <w:sz w:val="24"/>
          <w:szCs w:val="24"/>
        </w:rPr>
        <w:t xml:space="preserve"> органа, осуществляющего ведение лицевого счета,</w:t>
      </w:r>
      <w:r w:rsidR="007C4397" w:rsidRPr="001F0F0C">
        <w:rPr>
          <w:rFonts w:ascii="Arial" w:hAnsi="Arial" w:cs="Arial"/>
          <w:sz w:val="24"/>
          <w:szCs w:val="24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1F0F0C">
          <w:rPr>
            <w:rFonts w:ascii="Arial" w:hAnsi="Arial" w:cs="Arial"/>
            <w:sz w:val="24"/>
            <w:szCs w:val="24"/>
          </w:rPr>
          <w:t>абзацем вторым</w:t>
        </w:r>
      </w:hyperlink>
      <w:r w:rsidR="007C4397" w:rsidRPr="001F0F0C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31">
        <w:r w:rsidRPr="001F0F0C">
          <w:rPr>
            <w:rFonts w:ascii="Arial" w:hAnsi="Arial" w:cs="Arial"/>
            <w:sz w:val="24"/>
            <w:szCs w:val="24"/>
          </w:rPr>
          <w:t>пунктом 4 графы 2</w:t>
        </w:r>
      </w:hyperlink>
      <w:r w:rsidRPr="001F0F0C">
        <w:rPr>
          <w:rFonts w:ascii="Arial" w:hAnsi="Arial" w:cs="Arial"/>
          <w:sz w:val="24"/>
          <w:szCs w:val="24"/>
        </w:rPr>
        <w:t xml:space="preserve"> Перечня, проверка, предусмотренная </w:t>
      </w:r>
      <w:hyperlink w:anchor="P117">
        <w:r w:rsidRPr="001F0F0C">
          <w:rPr>
            <w:rFonts w:ascii="Arial" w:hAnsi="Arial" w:cs="Arial"/>
            <w:sz w:val="24"/>
            <w:szCs w:val="24"/>
          </w:rPr>
          <w:t>подпунктом 3 пункта 6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, указанного в денежном обязательстве.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181"/>
      <w:bookmarkEnd w:id="30"/>
      <w:r w:rsidRPr="001F0F0C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1F0F0C">
          <w:rPr>
            <w:rFonts w:ascii="Arial" w:hAnsi="Arial" w:cs="Arial"/>
            <w:sz w:val="24"/>
            <w:szCs w:val="24"/>
          </w:rPr>
          <w:t>пунктами 3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w:anchor="P56">
        <w:r w:rsidRPr="001F0F0C">
          <w:rPr>
            <w:rFonts w:ascii="Arial" w:hAnsi="Arial" w:cs="Arial"/>
            <w:sz w:val="24"/>
            <w:szCs w:val="24"/>
          </w:rPr>
          <w:t>4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w:anchor="P114">
        <w:r w:rsidRPr="001F0F0C">
          <w:rPr>
            <w:rFonts w:ascii="Arial" w:hAnsi="Arial" w:cs="Arial"/>
            <w:sz w:val="24"/>
            <w:szCs w:val="24"/>
          </w:rPr>
          <w:t>подпунктами 1</w:t>
        </w:r>
      </w:hyperlink>
      <w:r w:rsidRPr="001F0F0C">
        <w:rPr>
          <w:rFonts w:ascii="Arial" w:hAnsi="Arial" w:cs="Arial"/>
          <w:sz w:val="24"/>
          <w:szCs w:val="24"/>
        </w:rPr>
        <w:t xml:space="preserve"> - </w:t>
      </w:r>
      <w:hyperlink w:anchor="P137">
        <w:r w:rsidRPr="001F0F0C">
          <w:rPr>
            <w:rFonts w:ascii="Arial" w:hAnsi="Arial" w:cs="Arial"/>
            <w:sz w:val="24"/>
            <w:szCs w:val="24"/>
          </w:rPr>
          <w:t>13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w:anchor="P146">
        <w:r w:rsidRPr="001F0F0C">
          <w:rPr>
            <w:rFonts w:ascii="Arial" w:hAnsi="Arial" w:cs="Arial"/>
            <w:sz w:val="24"/>
            <w:szCs w:val="24"/>
          </w:rPr>
          <w:t>16</w:t>
        </w:r>
      </w:hyperlink>
      <w:r w:rsidRPr="001F0F0C">
        <w:rPr>
          <w:rFonts w:ascii="Arial" w:hAnsi="Arial" w:cs="Arial"/>
          <w:sz w:val="24"/>
          <w:szCs w:val="24"/>
        </w:rPr>
        <w:t xml:space="preserve"> - </w:t>
      </w:r>
      <w:hyperlink w:anchor="P154">
        <w:r w:rsidR="00011627" w:rsidRPr="001F0F0C">
          <w:rPr>
            <w:rFonts w:ascii="Arial" w:hAnsi="Arial" w:cs="Arial"/>
            <w:sz w:val="24"/>
            <w:szCs w:val="24"/>
          </w:rPr>
          <w:t>18</w:t>
        </w:r>
        <w:r w:rsidRPr="001F0F0C">
          <w:rPr>
            <w:rFonts w:ascii="Arial" w:hAnsi="Arial" w:cs="Arial"/>
            <w:sz w:val="24"/>
            <w:szCs w:val="24"/>
          </w:rPr>
          <w:t xml:space="preserve"> пункта 6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hyperlink w:anchor="P159">
        <w:r w:rsidRPr="001F0F0C">
          <w:rPr>
            <w:rFonts w:ascii="Arial" w:hAnsi="Arial" w:cs="Arial"/>
            <w:sz w:val="24"/>
            <w:szCs w:val="24"/>
          </w:rPr>
          <w:t>пунктами 7</w:t>
        </w:r>
      </w:hyperlink>
      <w:r w:rsidRPr="001F0F0C">
        <w:rPr>
          <w:rFonts w:ascii="Arial" w:hAnsi="Arial" w:cs="Arial"/>
          <w:sz w:val="24"/>
          <w:szCs w:val="24"/>
        </w:rPr>
        <w:t xml:space="preserve">, </w:t>
      </w:r>
      <w:r w:rsidR="000A22DD" w:rsidRPr="001F0F0C">
        <w:rPr>
          <w:rFonts w:ascii="Arial" w:hAnsi="Arial" w:cs="Arial"/>
          <w:sz w:val="24"/>
          <w:szCs w:val="24"/>
        </w:rPr>
        <w:t xml:space="preserve">9 </w:t>
      </w:r>
      <w:r w:rsidRPr="001F0F0C">
        <w:rPr>
          <w:rFonts w:ascii="Arial" w:hAnsi="Arial" w:cs="Arial"/>
          <w:sz w:val="24"/>
          <w:szCs w:val="24"/>
        </w:rPr>
        <w:t xml:space="preserve">и </w:t>
      </w:r>
      <w:hyperlink w:anchor="P169">
        <w:r w:rsidRPr="001F0F0C">
          <w:rPr>
            <w:rFonts w:ascii="Arial" w:hAnsi="Arial" w:cs="Arial"/>
            <w:sz w:val="24"/>
            <w:szCs w:val="24"/>
          </w:rPr>
          <w:t>1</w:t>
        </w:r>
      </w:hyperlink>
      <w:r w:rsidR="000A22DD" w:rsidRPr="001F0F0C">
        <w:rPr>
          <w:rFonts w:ascii="Arial" w:hAnsi="Arial" w:cs="Arial"/>
          <w:sz w:val="24"/>
          <w:szCs w:val="24"/>
        </w:rPr>
        <w:t>0</w:t>
      </w:r>
      <w:r w:rsidRPr="001F0F0C">
        <w:rPr>
          <w:rFonts w:ascii="Arial" w:hAnsi="Arial" w:cs="Arial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условий, установленных </w:t>
      </w:r>
      <w:hyperlink w:anchor="P163">
        <w:r w:rsidR="000A22DD" w:rsidRPr="001F0F0C">
          <w:rPr>
            <w:rFonts w:ascii="Arial" w:hAnsi="Arial" w:cs="Arial"/>
            <w:sz w:val="24"/>
            <w:szCs w:val="24"/>
          </w:rPr>
          <w:t>8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Порядка, </w:t>
      </w:r>
      <w:r w:rsidR="00F16009" w:rsidRPr="001F0F0C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1F0F0C">
        <w:rPr>
          <w:rFonts w:ascii="Arial" w:hAnsi="Arial" w:cs="Arial"/>
          <w:sz w:val="24"/>
          <w:szCs w:val="24"/>
        </w:rPr>
        <w:t>,</w:t>
      </w:r>
      <w:r w:rsidRPr="001F0F0C">
        <w:rPr>
          <w:rFonts w:ascii="Arial" w:hAnsi="Arial" w:cs="Arial"/>
          <w:sz w:val="24"/>
          <w:szCs w:val="24"/>
        </w:rPr>
        <w:t xml:space="preserve"> не позднее сроков, установленных </w:t>
      </w:r>
      <w:hyperlink w:anchor="P53">
        <w:r w:rsidRPr="001F0F0C">
          <w:rPr>
            <w:rFonts w:ascii="Arial" w:hAnsi="Arial" w:cs="Arial"/>
            <w:sz w:val="24"/>
            <w:szCs w:val="24"/>
          </w:rPr>
          <w:t>пунктом 3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Порядка, направляет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получателю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&lt;10&gt;.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--------------------------------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&lt;10&gt;</w:t>
      </w:r>
      <w:hyperlink r:id="rId32">
        <w:r w:rsidRPr="001F0F0C">
          <w:rPr>
            <w:rFonts w:ascii="Arial" w:hAnsi="Arial" w:cs="Arial"/>
            <w:sz w:val="24"/>
            <w:szCs w:val="24"/>
          </w:rPr>
          <w:t>Пункт 5 статьи 242.7</w:t>
        </w:r>
      </w:hyperlink>
      <w:r w:rsidRPr="001F0F0C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При установлении </w:t>
      </w:r>
      <w:r w:rsidR="00F16009" w:rsidRPr="001F0F0C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Pr="001F0F0C">
        <w:rPr>
          <w:rFonts w:ascii="Arial" w:hAnsi="Arial" w:cs="Arial"/>
          <w:sz w:val="24"/>
          <w:szCs w:val="24"/>
        </w:rPr>
        <w:t xml:space="preserve"> нарушений получателем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условий, установленных </w:t>
      </w:r>
      <w:hyperlink w:anchor="P144">
        <w:r w:rsidRPr="001F0F0C">
          <w:rPr>
            <w:rFonts w:ascii="Arial" w:hAnsi="Arial" w:cs="Arial"/>
            <w:sz w:val="24"/>
            <w:szCs w:val="24"/>
          </w:rPr>
          <w:t>подпунктами 14</w:t>
        </w:r>
      </w:hyperlink>
      <w:r w:rsidRPr="001F0F0C">
        <w:rPr>
          <w:rFonts w:ascii="Arial" w:hAnsi="Arial" w:cs="Arial"/>
          <w:sz w:val="24"/>
          <w:szCs w:val="24"/>
        </w:rPr>
        <w:t xml:space="preserve"> и (или) </w:t>
      </w:r>
      <w:hyperlink w:anchor="P145">
        <w:r w:rsidRPr="001F0F0C">
          <w:rPr>
            <w:rFonts w:ascii="Arial" w:hAnsi="Arial" w:cs="Arial"/>
            <w:sz w:val="24"/>
            <w:szCs w:val="24"/>
          </w:rPr>
          <w:t>15 пункта 6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Порядка, </w:t>
      </w:r>
      <w:r w:rsidR="00F16009" w:rsidRPr="001F0F0C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1F0F0C">
        <w:rPr>
          <w:rFonts w:ascii="Arial" w:hAnsi="Arial" w:cs="Arial"/>
          <w:sz w:val="24"/>
          <w:szCs w:val="24"/>
        </w:rPr>
        <w:t>,</w:t>
      </w:r>
      <w:r w:rsidRPr="001F0F0C">
        <w:rPr>
          <w:rFonts w:ascii="Arial" w:hAnsi="Arial" w:cs="Arial"/>
          <w:sz w:val="24"/>
          <w:szCs w:val="24"/>
        </w:rPr>
        <w:t xml:space="preserve"> не позднее </w:t>
      </w:r>
      <w:r w:rsidRPr="001F0F0C">
        <w:rPr>
          <w:rFonts w:ascii="Arial" w:hAnsi="Arial" w:cs="Arial"/>
          <w:b/>
          <w:sz w:val="24"/>
          <w:szCs w:val="24"/>
        </w:rPr>
        <w:t>двух</w:t>
      </w:r>
      <w:r w:rsidRPr="001F0F0C">
        <w:rPr>
          <w:rFonts w:ascii="Arial" w:hAnsi="Arial" w:cs="Arial"/>
          <w:sz w:val="24"/>
          <w:szCs w:val="24"/>
        </w:rPr>
        <w:t xml:space="preserve"> рабочих дней после отражения </w:t>
      </w:r>
      <w:r w:rsidRPr="001F0F0C">
        <w:rPr>
          <w:rFonts w:ascii="Arial" w:hAnsi="Arial" w:cs="Arial"/>
          <w:sz w:val="24"/>
          <w:szCs w:val="24"/>
        </w:rPr>
        <w:lastRenderedPageBreak/>
        <w:t xml:space="preserve">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путем направления </w:t>
      </w:r>
      <w:proofErr w:type="gramStart"/>
      <w:r w:rsidRPr="001F0F0C">
        <w:rPr>
          <w:rFonts w:ascii="Arial" w:hAnsi="Arial" w:cs="Arial"/>
          <w:sz w:val="24"/>
          <w:szCs w:val="24"/>
        </w:rPr>
        <w:t>Уведомления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о нарушении установленных предельных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размеров авансового платежа по форме согласно </w:t>
      </w:r>
      <w:hyperlink w:anchor="P212">
        <w:r w:rsidR="000A22DD" w:rsidRPr="001F0F0C">
          <w:rPr>
            <w:rFonts w:ascii="Arial" w:hAnsi="Arial" w:cs="Arial"/>
            <w:sz w:val="24"/>
            <w:szCs w:val="24"/>
          </w:rPr>
          <w:t>приложению №</w:t>
        </w:r>
        <w:r w:rsidRPr="001F0F0C">
          <w:rPr>
            <w:rFonts w:ascii="Arial" w:hAnsi="Arial" w:cs="Arial"/>
            <w:sz w:val="24"/>
            <w:szCs w:val="24"/>
          </w:rPr>
          <w:t xml:space="preserve"> 1</w:t>
        </w:r>
      </w:hyperlink>
      <w:r w:rsidRPr="001F0F0C">
        <w:rPr>
          <w:rFonts w:ascii="Arial" w:hAnsi="Arial" w:cs="Arial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1F0F0C">
          <w:rPr>
            <w:rFonts w:ascii="Arial" w:hAnsi="Arial" w:cs="Arial"/>
            <w:sz w:val="24"/>
            <w:szCs w:val="24"/>
          </w:rPr>
          <w:t xml:space="preserve">приложению </w:t>
        </w:r>
        <w:r w:rsidR="000A22DD" w:rsidRPr="001F0F0C">
          <w:rPr>
            <w:rFonts w:ascii="Arial" w:hAnsi="Arial" w:cs="Arial"/>
            <w:sz w:val="24"/>
            <w:szCs w:val="24"/>
          </w:rPr>
          <w:t>№</w:t>
        </w:r>
        <w:r w:rsidRPr="001F0F0C">
          <w:rPr>
            <w:rFonts w:ascii="Arial" w:hAnsi="Arial" w:cs="Arial"/>
            <w:sz w:val="24"/>
            <w:szCs w:val="24"/>
          </w:rPr>
          <w:t xml:space="preserve"> 2</w:t>
        </w:r>
      </w:hyperlink>
      <w:r w:rsidRPr="001F0F0C">
        <w:rPr>
          <w:rFonts w:ascii="Arial" w:hAnsi="Arial" w:cs="Arial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>, в ведении которого находится допустивший нарушение получатель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="00011627" w:rsidRPr="001F0F0C">
        <w:rPr>
          <w:rFonts w:ascii="Arial" w:hAnsi="Arial" w:cs="Arial"/>
          <w:sz w:val="24"/>
          <w:szCs w:val="24"/>
        </w:rPr>
        <w:t xml:space="preserve">, не позднее </w:t>
      </w:r>
      <w:r w:rsidR="00011627" w:rsidRPr="001F0F0C">
        <w:rPr>
          <w:rFonts w:ascii="Arial" w:hAnsi="Arial" w:cs="Arial"/>
          <w:b/>
          <w:sz w:val="24"/>
          <w:szCs w:val="24"/>
        </w:rPr>
        <w:t>двух</w:t>
      </w:r>
      <w:r w:rsidR="001F0F0C" w:rsidRPr="001F0F0C">
        <w:rPr>
          <w:rFonts w:ascii="Arial" w:hAnsi="Arial" w:cs="Arial"/>
          <w:b/>
          <w:sz w:val="24"/>
          <w:szCs w:val="24"/>
        </w:rPr>
        <w:t xml:space="preserve"> </w:t>
      </w:r>
      <w:r w:rsidRPr="001F0F0C">
        <w:rPr>
          <w:rFonts w:ascii="Arial" w:hAnsi="Arial" w:cs="Arial"/>
          <w:sz w:val="24"/>
          <w:szCs w:val="24"/>
        </w:rPr>
        <w:t>рабочих дней после отражения операций, вызвавших указанные нарушения, на соответствующем лицевом счете.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При санкционировании оплаты денежных обязательств в соответствии с </w:t>
      </w:r>
      <w:hyperlink w:anchor="P173">
        <w:r w:rsidRPr="001F0F0C">
          <w:rPr>
            <w:rFonts w:ascii="Arial" w:hAnsi="Arial" w:cs="Arial"/>
            <w:sz w:val="24"/>
            <w:szCs w:val="24"/>
          </w:rPr>
          <w:t>пунктом 11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Порядка, уведомления, предусмотренные </w:t>
      </w:r>
      <w:hyperlink w:anchor="P181">
        <w:r w:rsidRPr="001F0F0C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1F0F0C">
        <w:rPr>
          <w:rFonts w:ascii="Arial" w:hAnsi="Arial" w:cs="Arial"/>
          <w:sz w:val="24"/>
          <w:szCs w:val="24"/>
        </w:rPr>
        <w:t xml:space="preserve"> настоящего пункта, направляются получателю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с использованием единой информационной системы в сфере закупок.</w:t>
      </w:r>
    </w:p>
    <w:p w:rsidR="007C4397" w:rsidRPr="001F0F0C" w:rsidRDefault="007C439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1F0F0C">
        <w:rPr>
          <w:rFonts w:ascii="Arial" w:hAnsi="Arial" w:cs="Arial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1F0F0C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Pr="001F0F0C">
        <w:rPr>
          <w:rFonts w:ascii="Arial" w:hAnsi="Arial" w:cs="Arial"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  <w:r w:rsidRPr="001F0F0C">
        <w:rPr>
          <w:rFonts w:ascii="Arial" w:hAnsi="Arial" w:cs="Arial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1F0F0C">
        <w:rPr>
          <w:rFonts w:ascii="Arial" w:hAnsi="Arial" w:cs="Arial"/>
          <w:sz w:val="24"/>
          <w:szCs w:val="24"/>
        </w:rPr>
        <w:t>органа, осуществляющего ведение лицевого счета</w:t>
      </w:r>
      <w:r w:rsidRPr="001F0F0C">
        <w:rPr>
          <w:rFonts w:ascii="Arial" w:hAnsi="Arial" w:cs="Arial"/>
          <w:sz w:val="24"/>
          <w:szCs w:val="24"/>
        </w:rPr>
        <w:t>, и Распоряжение принимается к исполнению.</w:t>
      </w:r>
      <w:proofErr w:type="gramEnd"/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C3DFB" w:rsidRPr="001F0F0C">
        <w:rPr>
          <w:rFonts w:ascii="Arial" w:hAnsi="Arial" w:cs="Arial"/>
          <w:sz w:val="24"/>
          <w:szCs w:val="24"/>
        </w:rPr>
        <w:t>№</w:t>
      </w:r>
      <w:r w:rsidRPr="001F0F0C">
        <w:rPr>
          <w:rFonts w:ascii="Arial" w:hAnsi="Arial" w:cs="Arial"/>
          <w:sz w:val="24"/>
          <w:szCs w:val="24"/>
        </w:rPr>
        <w:t xml:space="preserve"> 1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к Порядку санкционирования оплаты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денежных обязательств получателей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и оплаты денежных обязательств,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подлежащих исполнению за счет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бюджетных ассигнований по источникам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="00A06BA7" w:rsidRPr="001F0F0C">
        <w:rPr>
          <w:rFonts w:ascii="Arial" w:hAnsi="Arial" w:cs="Arial"/>
          <w:sz w:val="24"/>
          <w:szCs w:val="24"/>
        </w:rPr>
        <w:t>местного</w:t>
      </w:r>
    </w:p>
    <w:p w:rsidR="005C3DFB" w:rsidRPr="001F0F0C" w:rsidRDefault="007C4397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бюджета, </w:t>
      </w:r>
      <w:proofErr w:type="gramStart"/>
      <w:r w:rsidRPr="001F0F0C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</w:t>
      </w:r>
      <w:r w:rsidR="001F0F0C" w:rsidRPr="001F0F0C">
        <w:rPr>
          <w:rFonts w:ascii="Arial" w:hAnsi="Arial" w:cs="Arial"/>
          <w:sz w:val="24"/>
          <w:szCs w:val="24"/>
        </w:rPr>
        <w:t>постановлением</w:t>
      </w:r>
    </w:p>
    <w:p w:rsidR="007C4397" w:rsidRPr="001F0F0C" w:rsidRDefault="001F0F0C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от17.01.2024г. №04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C4397" w:rsidRPr="001F0F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P212"/>
            <w:bookmarkEnd w:id="31"/>
            <w:r w:rsidRPr="001F0F0C">
              <w:rPr>
                <w:rFonts w:ascii="Arial" w:hAnsi="Arial" w:cs="Arial"/>
                <w:sz w:val="24"/>
                <w:szCs w:val="24"/>
              </w:rPr>
              <w:t>УВЕДОМЛЕНИЕ N _____</w:t>
            </w:r>
          </w:p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931" w:type="dxa"/>
        <w:tblInd w:w="-2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3"/>
        <w:gridCol w:w="340"/>
        <w:gridCol w:w="2324"/>
        <w:gridCol w:w="340"/>
        <w:gridCol w:w="2219"/>
        <w:gridCol w:w="1425"/>
      </w:tblGrid>
      <w:tr w:rsidR="007C4397" w:rsidRPr="001F0F0C" w:rsidTr="001F0F0C">
        <w:tc>
          <w:tcPr>
            <w:tcW w:w="59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C4397" w:rsidRPr="001F0F0C" w:rsidTr="001F0F0C">
        <w:tc>
          <w:tcPr>
            <w:tcW w:w="59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Форма по КФД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0504713</w:t>
            </w:r>
          </w:p>
        </w:tc>
      </w:tr>
      <w:tr w:rsidR="007C4397" w:rsidRPr="001F0F0C" w:rsidTr="001F0F0C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16009" w:rsidRPr="001F0F0C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3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3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40D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>
              <w:r w:rsidR="007C4397" w:rsidRPr="001F0F0C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rPr>
          <w:rFonts w:ascii="Arial" w:hAnsi="Arial" w:cs="Arial"/>
          <w:sz w:val="24"/>
          <w:szCs w:val="24"/>
        </w:rPr>
        <w:sectPr w:rsidR="007C4397" w:rsidRPr="001F0F0C" w:rsidSect="00E63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1107"/>
      </w:tblGrid>
      <w:tr w:rsidR="007C4397" w:rsidRPr="001F0F0C" w:rsidTr="001F0F0C">
        <w:tc>
          <w:tcPr>
            <w:tcW w:w="3855" w:type="dxa"/>
            <w:gridSpan w:val="6"/>
            <w:tcBorders>
              <w:left w:val="single" w:sz="4" w:space="0" w:color="auto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C4397" w:rsidRPr="001F0F0C" w:rsidTr="001F0F0C"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1F0F0C">
        <w:tc>
          <w:tcPr>
            <w:tcW w:w="510" w:type="dxa"/>
            <w:tcBorders>
              <w:left w:val="single" w:sz="4" w:space="0" w:color="auto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C4397" w:rsidRPr="001F0F0C" w:rsidTr="001F0F0C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7C4397" w:rsidRPr="001F0F0C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C4397" w:rsidRPr="001F0F0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F16009" w:rsidRPr="001F0F0C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  <w:r w:rsidRPr="001F0F0C">
              <w:rPr>
                <w:rFonts w:ascii="Arial" w:hAnsi="Arial" w:cs="Arial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7C4397" w:rsidRPr="001F0F0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F0F0C" w:rsidRDefault="001F0F0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C3DFB" w:rsidRPr="001F0F0C">
        <w:rPr>
          <w:rFonts w:ascii="Arial" w:hAnsi="Arial" w:cs="Arial"/>
          <w:sz w:val="24"/>
          <w:szCs w:val="24"/>
        </w:rPr>
        <w:t>№</w:t>
      </w:r>
      <w:r w:rsidRPr="001F0F0C">
        <w:rPr>
          <w:rFonts w:ascii="Arial" w:hAnsi="Arial" w:cs="Arial"/>
          <w:sz w:val="24"/>
          <w:szCs w:val="24"/>
        </w:rPr>
        <w:t xml:space="preserve"> 2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к Порядку санкционирования оплаты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денежных обязательств получателей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средств </w:t>
      </w:r>
      <w:r w:rsidR="004E56A3" w:rsidRPr="001F0F0C">
        <w:rPr>
          <w:rFonts w:ascii="Arial" w:hAnsi="Arial" w:cs="Arial"/>
          <w:sz w:val="24"/>
          <w:szCs w:val="24"/>
        </w:rPr>
        <w:t>местного бюджета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и оплаты денежных обязательств,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подлежащих исполнению за счет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>бюджетных ассигнований по источникам</w:t>
      </w:r>
    </w:p>
    <w:p w:rsidR="007C4397" w:rsidRPr="001F0F0C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="00A06BA7" w:rsidRPr="001F0F0C">
        <w:rPr>
          <w:rFonts w:ascii="Arial" w:hAnsi="Arial" w:cs="Arial"/>
          <w:sz w:val="24"/>
          <w:szCs w:val="24"/>
        </w:rPr>
        <w:t>местного</w:t>
      </w:r>
    </w:p>
    <w:p w:rsidR="007C4397" w:rsidRPr="001F0F0C" w:rsidRDefault="007C4397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бюджета, </w:t>
      </w:r>
      <w:proofErr w:type="gramStart"/>
      <w:r w:rsidRPr="001F0F0C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1F0F0C">
        <w:rPr>
          <w:rFonts w:ascii="Arial" w:hAnsi="Arial" w:cs="Arial"/>
          <w:sz w:val="24"/>
          <w:szCs w:val="24"/>
        </w:rPr>
        <w:t xml:space="preserve"> </w:t>
      </w:r>
      <w:r w:rsidR="00C6645B">
        <w:rPr>
          <w:rFonts w:ascii="Arial" w:hAnsi="Arial" w:cs="Arial"/>
          <w:sz w:val="24"/>
          <w:szCs w:val="24"/>
        </w:rPr>
        <w:t>постановлением</w:t>
      </w:r>
    </w:p>
    <w:p w:rsidR="005C3DFB" w:rsidRPr="001F0F0C" w:rsidRDefault="005C3DFB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F0C">
        <w:rPr>
          <w:rFonts w:ascii="Arial" w:hAnsi="Arial" w:cs="Arial"/>
          <w:sz w:val="24"/>
          <w:szCs w:val="24"/>
        </w:rPr>
        <w:t xml:space="preserve">от </w:t>
      </w:r>
      <w:r w:rsidR="00C6645B">
        <w:rPr>
          <w:rFonts w:ascii="Arial" w:hAnsi="Arial" w:cs="Arial"/>
          <w:sz w:val="24"/>
          <w:szCs w:val="24"/>
        </w:rPr>
        <w:t xml:space="preserve">17.01.2024г. </w:t>
      </w:r>
      <w:r w:rsidRPr="001F0F0C">
        <w:rPr>
          <w:rFonts w:ascii="Arial" w:hAnsi="Arial" w:cs="Arial"/>
          <w:sz w:val="24"/>
          <w:szCs w:val="24"/>
        </w:rPr>
        <w:t xml:space="preserve"> №</w:t>
      </w:r>
      <w:r w:rsidR="00C6645B">
        <w:rPr>
          <w:rFonts w:ascii="Arial" w:hAnsi="Arial" w:cs="Arial"/>
          <w:sz w:val="24"/>
          <w:szCs w:val="24"/>
        </w:rPr>
        <w:t>04</w:t>
      </w: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C4397" w:rsidRPr="001F0F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P356"/>
            <w:bookmarkEnd w:id="32"/>
            <w:r w:rsidRPr="001F0F0C">
              <w:rPr>
                <w:rFonts w:ascii="Arial" w:hAnsi="Arial" w:cs="Arial"/>
                <w:sz w:val="24"/>
                <w:szCs w:val="24"/>
              </w:rPr>
              <w:t>УВЕДОМЛЕНИЕ N _____</w:t>
            </w:r>
          </w:p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35"/>
        <w:gridCol w:w="1013"/>
      </w:tblGrid>
      <w:tr w:rsidR="007C4397" w:rsidRPr="001F0F0C" w:rsidTr="007C439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C4397" w:rsidRPr="001F0F0C" w:rsidTr="007C439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Форма по КФД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0504714</w:t>
            </w:r>
          </w:p>
        </w:tc>
      </w:tr>
      <w:tr w:rsidR="007C4397" w:rsidRPr="001F0F0C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16009" w:rsidRPr="001F0F0C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 w:rsidTr="007C439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1F0F0C" w:rsidRDefault="00740D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>
              <w:r w:rsidR="007C4397" w:rsidRPr="001F0F0C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C4397" w:rsidRPr="001F0F0C">
        <w:tc>
          <w:tcPr>
            <w:tcW w:w="4989" w:type="dxa"/>
            <w:gridSpan w:val="5"/>
            <w:tcBorders>
              <w:lef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 xml:space="preserve">Фактическая дата внесения арендной </w:t>
            </w: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1871" w:type="dxa"/>
            <w:vMerge w:val="restart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превышения размера арендной </w:t>
            </w: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>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>Примечание</w:t>
            </w:r>
          </w:p>
        </w:tc>
      </w:tr>
      <w:tr w:rsidR="007C4397" w:rsidRPr="001F0F0C">
        <w:tc>
          <w:tcPr>
            <w:tcW w:w="624" w:type="dxa"/>
            <w:tcBorders>
              <w:lef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 xml:space="preserve">периодичность внесения </w:t>
            </w: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>арендной платы</w:t>
            </w:r>
          </w:p>
        </w:tc>
        <w:tc>
          <w:tcPr>
            <w:tcW w:w="1077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внесения </w:t>
            </w: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>арендной платы</w:t>
            </w:r>
          </w:p>
        </w:tc>
        <w:tc>
          <w:tcPr>
            <w:tcW w:w="1134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арендной платы </w:t>
            </w: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>за период</w:t>
            </w:r>
          </w:p>
        </w:tc>
        <w:tc>
          <w:tcPr>
            <w:tcW w:w="1304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>
        <w:tc>
          <w:tcPr>
            <w:tcW w:w="624" w:type="dxa"/>
            <w:tcBorders>
              <w:lef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C4397" w:rsidRPr="001F0F0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7C4397" w:rsidRPr="001F0F0C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C4397" w:rsidRPr="001F0F0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F16009" w:rsidRPr="001F0F0C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  <w:r w:rsidRPr="001F0F0C">
              <w:rPr>
                <w:rFonts w:ascii="Arial" w:hAnsi="Arial" w:cs="Arial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1F0F0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7C4397" w:rsidRPr="001F0F0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F0F0C">
              <w:rPr>
                <w:rFonts w:ascii="Arial" w:hAnsi="Arial" w:cs="Arial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1F0F0C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1F0F0C" w:rsidRDefault="007C43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01164" w:rsidRPr="001F0F0C" w:rsidRDefault="00F01164">
      <w:pPr>
        <w:rPr>
          <w:rFonts w:ascii="Arial" w:hAnsi="Arial" w:cs="Arial"/>
          <w:sz w:val="24"/>
          <w:szCs w:val="24"/>
        </w:rPr>
      </w:pPr>
    </w:p>
    <w:sectPr w:rsidR="00F01164" w:rsidRPr="001F0F0C" w:rsidSect="00740D8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397"/>
    <w:rsid w:val="00011627"/>
    <w:rsid w:val="000A22DD"/>
    <w:rsid w:val="001F0F0C"/>
    <w:rsid w:val="002969D6"/>
    <w:rsid w:val="004E56A3"/>
    <w:rsid w:val="005C3DFB"/>
    <w:rsid w:val="00740D86"/>
    <w:rsid w:val="007C4397"/>
    <w:rsid w:val="00801B5A"/>
    <w:rsid w:val="00802E8F"/>
    <w:rsid w:val="0083631F"/>
    <w:rsid w:val="0084174B"/>
    <w:rsid w:val="00864F4E"/>
    <w:rsid w:val="008C6F85"/>
    <w:rsid w:val="009663E9"/>
    <w:rsid w:val="00990255"/>
    <w:rsid w:val="00A06BA7"/>
    <w:rsid w:val="00C6645B"/>
    <w:rsid w:val="00CF7001"/>
    <w:rsid w:val="00D91E7D"/>
    <w:rsid w:val="00E632C1"/>
    <w:rsid w:val="00F01164"/>
    <w:rsid w:val="00F1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6183" TargetMode="External"/><Relationship Id="rId13" Type="http://schemas.openxmlformats.org/officeDocument/2006/relationships/hyperlink" Target="https://login.consultant.ru/link/?req=doc&amp;base=LAW&amp;n=456147" TargetMode="External"/><Relationship Id="rId18" Type="http://schemas.openxmlformats.org/officeDocument/2006/relationships/hyperlink" Target="https://login.consultant.ru/link/?req=doc&amp;base=LAW&amp;n=461085&amp;dst=6746" TargetMode="External"/><Relationship Id="rId26" Type="http://schemas.openxmlformats.org/officeDocument/2006/relationships/hyperlink" Target="https://login.consultant.ru/link/?req=doc&amp;base=LAW&amp;n=436705&amp;dst=1004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5092&amp;dst=100858" TargetMode="External"/><Relationship Id="rId34" Type="http://schemas.openxmlformats.org/officeDocument/2006/relationships/hyperlink" Target="https://login.consultant.ru/link/?req=doc&amp;base=LAW&amp;n=441135&amp;dst=101916" TargetMode="External"/><Relationship Id="rId7" Type="http://schemas.openxmlformats.org/officeDocument/2006/relationships/hyperlink" Target="https://login.consultant.ru/link/?req=doc&amp;base=LAW&amp;n=461085&amp;dst=103363" TargetMode="External"/><Relationship Id="rId12" Type="http://schemas.openxmlformats.org/officeDocument/2006/relationships/hyperlink" Target="https://login.consultant.ru/link/?req=doc&amp;base=LAW&amp;n=461085&amp;dst=3801" TargetMode="External"/><Relationship Id="rId17" Type="http://schemas.openxmlformats.org/officeDocument/2006/relationships/hyperlink" Target="https://login.consultant.ru/link/?req=doc&amp;base=LAW&amp;n=436705&amp;dst=100367" TargetMode="External"/><Relationship Id="rId25" Type="http://schemas.openxmlformats.org/officeDocument/2006/relationships/hyperlink" Target="https://login.consultant.ru/link/?req=doc&amp;base=LAW&amp;n=436705&amp;dst=100464" TargetMode="External"/><Relationship Id="rId33" Type="http://schemas.openxmlformats.org/officeDocument/2006/relationships/hyperlink" Target="https://login.consultant.ru/link/?req=doc&amp;base=LAW&amp;n=441135&amp;dst=1019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085&amp;dst=2589" TargetMode="External"/><Relationship Id="rId20" Type="http://schemas.openxmlformats.org/officeDocument/2006/relationships/hyperlink" Target="https://login.consultant.ru/link/?req=doc&amp;base=LAW&amp;n=461085&amp;dst=103035" TargetMode="External"/><Relationship Id="rId29" Type="http://schemas.openxmlformats.org/officeDocument/2006/relationships/hyperlink" Target="https://login.consultant.ru/link/?req=doc&amp;base=LAW&amp;n=436705&amp;dst=10047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4913" TargetMode="External"/><Relationship Id="rId11" Type="http://schemas.openxmlformats.org/officeDocument/2006/relationships/hyperlink" Target="https://login.consultant.ru/link/?req=doc&amp;base=LAW&amp;n=461836&amp;dst=12021" TargetMode="External"/><Relationship Id="rId24" Type="http://schemas.openxmlformats.org/officeDocument/2006/relationships/hyperlink" Target="https://login.consultant.ru/link/?req=doc&amp;base=LAW&amp;n=436705&amp;dst=100456" TargetMode="External"/><Relationship Id="rId32" Type="http://schemas.openxmlformats.org/officeDocument/2006/relationships/hyperlink" Target="https://login.consultant.ru/link/?req=doc&amp;base=LAW&amp;n=461085&amp;dst=6132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461085&amp;dst=2592" TargetMode="External"/><Relationship Id="rId15" Type="http://schemas.openxmlformats.org/officeDocument/2006/relationships/hyperlink" Target="https://login.consultant.ru/link/?req=doc&amp;base=LAW&amp;n=461085&amp;dst=103142" TargetMode="External"/><Relationship Id="rId23" Type="http://schemas.openxmlformats.org/officeDocument/2006/relationships/hyperlink" Target="https://login.consultant.ru/link/?req=doc&amp;base=LAW&amp;n=436705&amp;dst=100443" TargetMode="External"/><Relationship Id="rId28" Type="http://schemas.openxmlformats.org/officeDocument/2006/relationships/hyperlink" Target="https://login.consultant.ru/link/?req=doc&amp;base=LAW&amp;n=436705&amp;dst=1004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5092&amp;dst=100045" TargetMode="External"/><Relationship Id="rId19" Type="http://schemas.openxmlformats.org/officeDocument/2006/relationships/hyperlink" Target="https://login.consultant.ru/link/?req=doc&amp;base=LAW&amp;n=455092&amp;dst=100862" TargetMode="External"/><Relationship Id="rId31" Type="http://schemas.openxmlformats.org/officeDocument/2006/relationships/hyperlink" Target="https://login.consultant.ru/link/?req=doc&amp;base=LAW&amp;n=436705&amp;dst=58" TargetMode="External"/><Relationship Id="rId4" Type="http://schemas.openxmlformats.org/officeDocument/2006/relationships/hyperlink" Target="https://login.consultant.ru/link/?req=doc&amp;base=LAW&amp;n=461085&amp;dst=3654" TargetMode="External"/><Relationship Id="rId9" Type="http://schemas.openxmlformats.org/officeDocument/2006/relationships/hyperlink" Target="https://login.consultant.ru/link/?req=doc&amp;base=LAW&amp;n=461085&amp;dst=6025" TargetMode="External"/><Relationship Id="rId14" Type="http://schemas.openxmlformats.org/officeDocument/2006/relationships/hyperlink" Target="https://login.consultant.ru/link/?req=doc&amp;base=LAW&amp;n=453492&amp;dst=4591" TargetMode="External"/><Relationship Id="rId22" Type="http://schemas.openxmlformats.org/officeDocument/2006/relationships/hyperlink" Target="https://login.consultant.ru/link/?req=doc&amp;base=LAW&amp;n=434208&amp;dst=100110" TargetMode="External"/><Relationship Id="rId27" Type="http://schemas.openxmlformats.org/officeDocument/2006/relationships/hyperlink" Target="https://login.consultant.ru/link/?req=doc&amp;base=LAW&amp;n=436705&amp;dst=100470" TargetMode="External"/><Relationship Id="rId30" Type="http://schemas.openxmlformats.org/officeDocument/2006/relationships/hyperlink" Target="https://login.consultant.ru/link/?req=doc&amp;base=LAW&amp;n=436705&amp;dst=10046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Ucer</cp:lastModifiedBy>
  <cp:revision>8</cp:revision>
  <cp:lastPrinted>2024-01-18T11:20:00Z</cp:lastPrinted>
  <dcterms:created xsi:type="dcterms:W3CDTF">2024-01-11T13:09:00Z</dcterms:created>
  <dcterms:modified xsi:type="dcterms:W3CDTF">2024-01-18T11:22:00Z</dcterms:modified>
</cp:coreProperties>
</file>